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0" w:rsidRPr="00B37E30" w:rsidRDefault="00B37E30" w:rsidP="00B37E30">
      <w:pPr>
        <w:spacing w:after="48" w:line="288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37E30">
        <w:rPr>
          <w:rFonts w:ascii="Calibri" w:eastAsia="Calibri" w:hAnsi="Calibri" w:cs="Calibri"/>
          <w:noProof/>
          <w:kern w:val="2"/>
          <w:lang w:eastAsia="pt-BR"/>
        </w:rPr>
        <w:drawing>
          <wp:inline distT="0" distB="0" distL="0" distR="0" wp14:anchorId="5CE11D1C" wp14:editId="4326B528">
            <wp:extent cx="457200" cy="457200"/>
            <wp:effectExtent l="0" t="0" r="0" b="0"/>
            <wp:docPr id="19402662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E30">
        <w:rPr>
          <w:rFonts w:ascii="Calibri" w:eastAsia="Times New Roman" w:hAnsi="Calibri" w:cs="Calibri"/>
          <w:color w:val="000000"/>
          <w:lang w:eastAsia="pt-BR"/>
        </w:rPr>
        <w:br/>
      </w:r>
    </w:p>
    <w:p w:rsidR="00B37E30" w:rsidRPr="00B37E30" w:rsidRDefault="00B37E30" w:rsidP="00B37E30">
      <w:pPr>
        <w:spacing w:after="48" w:line="276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37E30">
        <w:rPr>
          <w:rFonts w:ascii="Calibri" w:eastAsia="Times New Roman" w:hAnsi="Calibri" w:cs="Calibri"/>
          <w:color w:val="000000"/>
          <w:lang w:eastAsia="pt-BR"/>
        </w:rPr>
        <w:t>ADVOCACIA-GERAL DA UNIÃO</w:t>
      </w:r>
      <w:r w:rsidRPr="00B37E30">
        <w:rPr>
          <w:rFonts w:ascii="Calibri" w:eastAsia="Times New Roman" w:hAnsi="Calibri" w:cs="Calibri"/>
          <w:color w:val="000000"/>
          <w:lang w:eastAsia="pt-BR"/>
        </w:rPr>
        <w:br/>
        <w:t>CONSULTORIA-GERAL DA UNIÃO</w:t>
      </w:r>
      <w:r w:rsidRPr="00B37E30">
        <w:rPr>
          <w:rFonts w:ascii="Calibri" w:eastAsia="Times New Roman" w:hAnsi="Calibri" w:cs="Calibri"/>
          <w:color w:val="000000"/>
          <w:lang w:eastAsia="pt-BR"/>
        </w:rPr>
        <w:br/>
        <w:t>CÂMARA NACIONAL DE CONVÊNIOS E INSTRUMENTOS CONGÊNERES - CNCIC/DECOR/CGU</w:t>
      </w:r>
    </w:p>
    <w:p w:rsidR="00B37E30" w:rsidRPr="00B37E30" w:rsidRDefault="00B37E30" w:rsidP="00B37E30">
      <w:pPr>
        <w:spacing w:line="276" w:lineRule="auto"/>
        <w:jc w:val="center"/>
        <w:rPr>
          <w:rFonts w:ascii="Calibri" w:eastAsia="Calibri" w:hAnsi="Calibri" w:cs="Calibri"/>
          <w:kern w:val="2"/>
          <w:sz w:val="18"/>
          <w:szCs w:val="18"/>
        </w:rPr>
      </w:pPr>
      <w:r w:rsidRPr="00B37E30">
        <w:rPr>
          <w:rFonts w:ascii="Calibri" w:eastAsia="Calibri" w:hAnsi="Calibri" w:cs="Calibri"/>
          <w:kern w:val="2"/>
          <w:sz w:val="18"/>
          <w:szCs w:val="18"/>
        </w:rPr>
        <w:t>(Portaria CGU nº 03, de 14/06/2019)</w:t>
      </w:r>
    </w:p>
    <w:p w:rsidR="00B37E30" w:rsidRPr="00B37E30" w:rsidRDefault="00B37E30" w:rsidP="00B37E30">
      <w:pPr>
        <w:spacing w:line="276" w:lineRule="auto"/>
        <w:jc w:val="center"/>
        <w:rPr>
          <w:rFonts w:ascii="Calibri" w:eastAsia="Calibri" w:hAnsi="Calibri" w:cs="Calibri"/>
          <w:kern w:val="2"/>
          <w:sz w:val="8"/>
          <w:szCs w:val="18"/>
        </w:rPr>
      </w:pPr>
    </w:p>
    <w:p w:rsidR="00B37E30" w:rsidRPr="00B37E30" w:rsidRDefault="00B37E30" w:rsidP="00B3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line="276" w:lineRule="auto"/>
        <w:jc w:val="center"/>
        <w:rPr>
          <w:rFonts w:ascii="Calibri" w:eastAsia="Calibri" w:hAnsi="Calibri" w:cs="Calibri"/>
          <w:b/>
          <w:bCs/>
          <w:kern w:val="2"/>
          <w:sz w:val="36"/>
          <w:szCs w:val="36"/>
        </w:rPr>
      </w:pPr>
    </w:p>
    <w:p w:rsidR="00B37E30" w:rsidRPr="00B37E30" w:rsidRDefault="00B37E30" w:rsidP="00B3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line="276" w:lineRule="auto"/>
        <w:jc w:val="center"/>
        <w:rPr>
          <w:rFonts w:ascii="Calibri" w:eastAsia="Calibri" w:hAnsi="Calibri" w:cs="Calibri"/>
          <w:b/>
          <w:bCs/>
          <w:kern w:val="2"/>
          <w:sz w:val="36"/>
          <w:szCs w:val="36"/>
          <w:u w:val="single"/>
        </w:rPr>
      </w:pPr>
      <w:r w:rsidRPr="00B37E30">
        <w:rPr>
          <w:rFonts w:ascii="Calibri" w:eastAsia="Calibri" w:hAnsi="Calibri" w:cs="Calibri"/>
          <w:b/>
          <w:bCs/>
          <w:kern w:val="2"/>
          <w:sz w:val="36"/>
          <w:szCs w:val="36"/>
          <w:u w:val="single"/>
        </w:rPr>
        <w:t>PROTOCOLO DE INTENÇÕES</w:t>
      </w:r>
    </w:p>
    <w:p w:rsidR="00B37E30" w:rsidRPr="00B37E30" w:rsidRDefault="00B37E30" w:rsidP="00B3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line="276" w:lineRule="auto"/>
        <w:jc w:val="center"/>
        <w:rPr>
          <w:rFonts w:ascii="Calibri" w:eastAsia="Calibri" w:hAnsi="Calibri" w:cs="Calibri"/>
          <w:b/>
          <w:bCs/>
          <w:kern w:val="2"/>
          <w:sz w:val="36"/>
          <w:szCs w:val="36"/>
          <w:u w:val="single"/>
        </w:rPr>
      </w:pPr>
    </w:p>
    <w:p w:rsidR="00B37E30" w:rsidRPr="00B37E30" w:rsidRDefault="00B37E30" w:rsidP="00B37E30">
      <w:pPr>
        <w:spacing w:line="276" w:lineRule="auto"/>
        <w:rPr>
          <w:rFonts w:ascii="Calibri" w:eastAsia="Calibri" w:hAnsi="Calibri" w:cs="Calibri"/>
          <w:b/>
          <w:bCs/>
          <w:kern w:val="2"/>
          <w:sz w:val="18"/>
          <w:szCs w:val="36"/>
        </w:rPr>
      </w:pPr>
    </w:p>
    <w:p w:rsidR="00B37E30" w:rsidRPr="00B37E30" w:rsidRDefault="00B37E30" w:rsidP="00B37E30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kern w:val="2"/>
          <w:sz w:val="44"/>
          <w:szCs w:val="44"/>
          <w:u w:val="single"/>
        </w:rPr>
      </w:pPr>
      <w:r w:rsidRPr="00B37E30">
        <w:rPr>
          <w:rFonts w:ascii="Calibri" w:eastAsia="Calibri" w:hAnsi="Calibri" w:cs="Calibri"/>
          <w:b/>
          <w:bCs/>
          <w:smallCaps/>
          <w:kern w:val="2"/>
          <w:sz w:val="44"/>
          <w:szCs w:val="44"/>
          <w:u w:val="single"/>
        </w:rPr>
        <w:t>Instruções Iniciais</w:t>
      </w:r>
    </w:p>
    <w:p w:rsidR="00B37E30" w:rsidRPr="00B37E30" w:rsidRDefault="00B37E30" w:rsidP="00B37E30">
      <w:pPr>
        <w:spacing w:line="276" w:lineRule="auto"/>
        <w:jc w:val="both"/>
        <w:rPr>
          <w:rFonts w:ascii="Calibri" w:eastAsia="Calibri" w:hAnsi="Calibri" w:cs="Calibri"/>
          <w:b/>
          <w:bCs/>
          <w:kern w:val="2"/>
          <w:sz w:val="10"/>
          <w:szCs w:val="24"/>
        </w:rPr>
      </w:pP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 xml:space="preserve">Nota Explicativa 1 </w:t>
      </w: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120" w:line="240" w:lineRule="auto"/>
        <w:ind w:firstLine="709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O presente modelo de </w:t>
      </w:r>
      <w:r w:rsidRPr="002A6086">
        <w:rPr>
          <w:rFonts w:ascii="Calibri" w:eastAsia="Times New Roman" w:hAnsi="Calibri" w:cs="Calibri"/>
          <w:smallCaps/>
          <w:kern w:val="2"/>
          <w:sz w:val="23"/>
          <w:szCs w:val="23"/>
        </w:rPr>
        <w:t>Protocolo de Intenções</w:t>
      </w: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 é o instrumento formal utilizado por entes públicos para se estabelecer um vínculo cooperativo ou de parceria entre si, que tenham interesses e condições recíprocas ou equivalentes, de modo a realizar um propósito comum.</w:t>
      </w:r>
      <w:r w:rsidRPr="002A6086">
        <w:rPr>
          <w:rFonts w:ascii="Calibri" w:eastAsia="Arial" w:hAnsi="Calibri" w:cs="Calibri"/>
          <w:kern w:val="2"/>
          <w:sz w:val="23"/>
          <w:szCs w:val="23"/>
        </w:rPr>
        <w:t xml:space="preserve"> </w:t>
      </w:r>
    </w:p>
    <w:p w:rsidR="00B37E30" w:rsidRPr="002A6086" w:rsidRDefault="00B37E30" w:rsidP="00B37E30">
      <w:pPr>
        <w:spacing w:after="120" w:line="240" w:lineRule="auto"/>
        <w:ind w:firstLine="709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O Protocolo de Intenções se diferencia de convênios, contratos de repasse e termos de execução descentralizada pelo simples fato de não existir a possibilidade de transferência de recursos entre os partícipes.  </w:t>
      </w:r>
    </w:p>
    <w:p w:rsidR="00B37E30" w:rsidRPr="002A6086" w:rsidRDefault="00B37E30" w:rsidP="00B37E30">
      <w:pPr>
        <w:spacing w:after="120" w:line="240" w:lineRule="auto"/>
        <w:ind w:firstLine="709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O Protocolo de Intenções se diferencia de Acordos de Cooperação Técnica pelo fato de ser um ajuste genérico, </w:t>
      </w: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>sem obrigações imediatas</w:t>
      </w: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. Dessa forma, trata-se de um documento sucinto, que não necessariamente exige um plano de trabalho ou um projeto específico para lhe dar causa, sendo visto como um </w:t>
      </w: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>mero consenso</w:t>
      </w: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 entre seus partícipes, a fim de, no futuro, estabelecerem instrumentos específicos acerca de projetos que pretendem firmar, se for o caso. </w:t>
      </w:r>
    </w:p>
    <w:p w:rsidR="00B37E30" w:rsidRPr="002A6086" w:rsidRDefault="00B37E30" w:rsidP="00B37E30">
      <w:pPr>
        <w:spacing w:after="3" w:line="240" w:lineRule="auto"/>
        <w:ind w:right="-1" w:firstLine="708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Deste modo, não se deve confundir o Protocolo de Intenções com o Acordo de Cooperação Técnica, visto que neste último há obrigações e atribuições assumidas pelos partícipes, caracterizando-se como um instrumento jurídico obrigacional, e não um mero ajuste, consenso entre os partícipes em relação à determinadas matérias. </w:t>
      </w: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 xml:space="preserve">Nota Explicativa 2 </w:t>
      </w:r>
    </w:p>
    <w:p w:rsidR="00B37E30" w:rsidRPr="002A6086" w:rsidRDefault="00B37E30" w:rsidP="00B37E30">
      <w:pPr>
        <w:spacing w:after="3" w:line="240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3" w:line="240" w:lineRule="auto"/>
        <w:ind w:right="-1" w:firstLine="708"/>
        <w:jc w:val="both"/>
        <w:rPr>
          <w:rFonts w:ascii="Calibri" w:eastAsia="Times New Roman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O Protocolo de Intenção deve ser utilizado de forma </w:t>
      </w: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>subsidiária</w:t>
      </w: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 em relação a outros instrumentos de natureza cooperativa. Nesse sentido, havendo instrumento jurídico mais adequado para o fim pretendido pela Administração Pública, este instrumento específico </w:t>
      </w:r>
      <w:r w:rsidRPr="002A6086">
        <w:rPr>
          <w:rFonts w:ascii="Calibri" w:eastAsia="Times New Roman" w:hAnsi="Calibri" w:cs="Calibri"/>
          <w:kern w:val="2"/>
          <w:sz w:val="23"/>
          <w:szCs w:val="23"/>
        </w:rPr>
        <w:lastRenderedPageBreak/>
        <w:t xml:space="preserve">que deverá ser utilizado, valendo-se do Protocolo de Intenções como instrumento residual, quando não se pretende criar vínculos jurídicos obrigacionais entre os partícipes. </w:t>
      </w:r>
    </w:p>
    <w:p w:rsidR="00B37E30" w:rsidRPr="002A6086" w:rsidRDefault="00B37E30" w:rsidP="00B37E30">
      <w:pPr>
        <w:spacing w:after="0" w:line="256" w:lineRule="auto"/>
        <w:ind w:right="-1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 </w:t>
      </w: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>Nota Explicativa 3</w:t>
      </w:r>
    </w:p>
    <w:p w:rsidR="00B37E30" w:rsidRPr="002A6086" w:rsidRDefault="00B37E30" w:rsidP="00B37E30">
      <w:pPr>
        <w:spacing w:after="3" w:line="233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3" w:line="240" w:lineRule="auto"/>
        <w:ind w:right="-1" w:firstLine="708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Os itens deste modelo de instrumento de parceria destacados em </w:t>
      </w:r>
      <w:r w:rsidRPr="002A6086">
        <w:rPr>
          <w:rFonts w:ascii="Calibri" w:eastAsia="Times New Roman" w:hAnsi="Calibri" w:cs="Calibri"/>
          <w:iCs/>
          <w:color w:val="FF0000"/>
          <w:kern w:val="2"/>
          <w:sz w:val="23"/>
          <w:szCs w:val="23"/>
        </w:rPr>
        <w:t>vermelho</w:t>
      </w:r>
      <w:r w:rsidRPr="002A6086">
        <w:rPr>
          <w:rFonts w:ascii="Calibri" w:eastAsia="Times New Roman" w:hAnsi="Calibri" w:cs="Calibri"/>
          <w:i/>
          <w:color w:val="FF0000"/>
          <w:kern w:val="2"/>
          <w:sz w:val="23"/>
          <w:szCs w:val="23"/>
        </w:rPr>
        <w:t xml:space="preserve"> </w:t>
      </w:r>
      <w:r w:rsidRPr="002A6086">
        <w:rPr>
          <w:rFonts w:ascii="Calibri" w:eastAsia="Times New Roman" w:hAnsi="Calibri" w:cs="Calibri"/>
          <w:iCs/>
          <w:kern w:val="2"/>
          <w:sz w:val="23"/>
          <w:szCs w:val="23"/>
        </w:rPr>
        <w:t>podem</w:t>
      </w: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 ser adotados pelo órgão ou entidade pública, de acordo com as peculiaridades e condições do objeto.  </w:t>
      </w:r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 </w:t>
      </w:r>
    </w:p>
    <w:p w:rsidR="00B37E30" w:rsidRPr="002A6086" w:rsidRDefault="00B37E30" w:rsidP="00B37E30">
      <w:pPr>
        <w:spacing w:after="1" w:line="246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1" w:line="276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1" w:line="276" w:lineRule="auto"/>
        <w:ind w:right="-1" w:hanging="20"/>
        <w:jc w:val="both"/>
        <w:rPr>
          <w:rFonts w:ascii="Calibri" w:eastAsia="Times New Roman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>Nota Explicativa 4</w:t>
      </w: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 </w:t>
      </w:r>
    </w:p>
    <w:p w:rsidR="00B37E30" w:rsidRPr="002A6086" w:rsidRDefault="00B37E30" w:rsidP="00B37E30">
      <w:pPr>
        <w:spacing w:after="1" w:line="240" w:lineRule="auto"/>
        <w:ind w:right="-1" w:hanging="20"/>
        <w:jc w:val="both"/>
        <w:rPr>
          <w:rFonts w:ascii="Calibri" w:eastAsia="Times New Roman" w:hAnsi="Calibri" w:cs="Calibri"/>
          <w:kern w:val="2"/>
          <w:sz w:val="23"/>
          <w:szCs w:val="23"/>
        </w:rPr>
      </w:pPr>
    </w:p>
    <w:p w:rsidR="00B37E30" w:rsidRPr="002A6086" w:rsidRDefault="00B37E30" w:rsidP="00B37E30">
      <w:pPr>
        <w:spacing w:after="1" w:line="240" w:lineRule="auto"/>
        <w:ind w:right="-1" w:firstLine="708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As notas explicativas apresentadas ao longo do modelo traduzem-se em orientações e devem ser excluídas após as adaptações realizadas.  </w:t>
      </w:r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 </w:t>
      </w:r>
    </w:p>
    <w:p w:rsidR="00B37E30" w:rsidRPr="002A6086" w:rsidRDefault="00B37E30" w:rsidP="00B37E30">
      <w:pPr>
        <w:spacing w:after="9" w:line="256" w:lineRule="auto"/>
        <w:ind w:right="-1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 xml:space="preserve"> </w:t>
      </w:r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 </w:t>
      </w:r>
    </w:p>
    <w:p w:rsidR="00B37E30" w:rsidRPr="002A6086" w:rsidRDefault="00B37E30" w:rsidP="00B37E30">
      <w:pPr>
        <w:spacing w:after="9" w:line="256" w:lineRule="auto"/>
        <w:ind w:right="-1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</w:p>
    <w:p w:rsidR="00B37E30" w:rsidRPr="002A6086" w:rsidRDefault="00B37E30" w:rsidP="00B37E30">
      <w:pPr>
        <w:spacing w:after="240" w:line="246" w:lineRule="auto"/>
        <w:ind w:right="-1" w:hanging="20"/>
        <w:jc w:val="both"/>
        <w:rPr>
          <w:rFonts w:ascii="Calibri" w:eastAsia="Times New Roman" w:hAnsi="Calibri" w:cs="Calibri"/>
          <w:b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b/>
          <w:kern w:val="2"/>
          <w:sz w:val="23"/>
          <w:szCs w:val="23"/>
        </w:rPr>
        <w:t xml:space="preserve">Nota Explicativa 5 </w:t>
      </w:r>
    </w:p>
    <w:p w:rsidR="00B37E30" w:rsidRPr="002A6086" w:rsidRDefault="00B37E30" w:rsidP="00B37E30">
      <w:pPr>
        <w:spacing w:after="240" w:line="240" w:lineRule="auto"/>
        <w:ind w:right="-1" w:firstLine="708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Times New Roman" w:hAnsi="Calibri" w:cs="Calibri"/>
          <w:kern w:val="2"/>
          <w:sz w:val="23"/>
          <w:szCs w:val="23"/>
        </w:rPr>
        <w:t>O Órgão Assessorado deverá manter as notas de rodapé dos modelos utilizados para a elaboração das minutas e demais anexos, a fim de que o Órgão Jurídico, ao examinar os documentos, esteja certo de que foi empregado o modelo correto. Na versão final do texto, as notas de rodapé deverão ser excluídas.</w:t>
      </w:r>
    </w:p>
    <w:p w:rsidR="00B37E30" w:rsidRPr="002A6086" w:rsidRDefault="00B37E30" w:rsidP="00B37E30">
      <w:pPr>
        <w:spacing w:after="266" w:line="246" w:lineRule="auto"/>
        <w:ind w:right="-1" w:hanging="20"/>
        <w:jc w:val="both"/>
        <w:rPr>
          <w:rFonts w:ascii="Calibri" w:eastAsia="Calibri" w:hAnsi="Calibri" w:cs="Calibri"/>
          <w:b/>
          <w:bCs/>
          <w:kern w:val="2"/>
          <w:sz w:val="23"/>
          <w:szCs w:val="23"/>
        </w:rPr>
      </w:pPr>
    </w:p>
    <w:p w:rsidR="00B37E30" w:rsidRPr="002A6086" w:rsidRDefault="00B37E30" w:rsidP="00B37E30">
      <w:pPr>
        <w:spacing w:after="266" w:line="246" w:lineRule="auto"/>
        <w:ind w:right="-1" w:hanging="20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Calibri" w:hAnsi="Calibri" w:cs="Calibri"/>
          <w:b/>
          <w:bCs/>
          <w:kern w:val="2"/>
          <w:sz w:val="23"/>
          <w:szCs w:val="23"/>
        </w:rPr>
        <w:t>Nota Explicativa 6</w:t>
      </w:r>
    </w:p>
    <w:p w:rsidR="00B37E30" w:rsidRPr="002A6086" w:rsidRDefault="00B37E30" w:rsidP="00B37E30">
      <w:pPr>
        <w:spacing w:after="266" w:line="240" w:lineRule="auto"/>
        <w:ind w:right="-1" w:firstLine="708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A CNPDI possui modelo de Protocolo de Intenção (ou Memorando de Entendimento - MOU) disponibilizado como orientação geral de elaboração de instrumentos jurídicos de CT&amp;I no endereço </w:t>
      </w:r>
      <w:hyperlink r:id="rId5" w:history="1">
        <w:r w:rsidRPr="002A6086">
          <w:rPr>
            <w:rFonts w:ascii="Calibri" w:eastAsia="Calibri" w:hAnsi="Calibri" w:cs="Calibri"/>
            <w:i/>
            <w:iCs/>
            <w:color w:val="0563C1"/>
            <w:kern w:val="2"/>
            <w:sz w:val="23"/>
            <w:szCs w:val="23"/>
            <w:u w:val="single"/>
          </w:rPr>
          <w:t>https://www.gov.br/agu/pt-br/composicao/cgu/cgu/modelos/cti/modelogeral</w:t>
        </w:r>
      </w:hyperlink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. O modelo é sugerido para os órgãos da Administração Pública Direta da União qualificados como </w:t>
      </w:r>
      <w:proofErr w:type="spellStart"/>
      <w:r w:rsidRPr="002A6086">
        <w:rPr>
          <w:rFonts w:ascii="Calibri" w:eastAsia="Calibri" w:hAnsi="Calibri" w:cs="Calibri"/>
          <w:kern w:val="2"/>
          <w:sz w:val="23"/>
          <w:szCs w:val="23"/>
        </w:rPr>
        <w:t>ICTs</w:t>
      </w:r>
      <w:proofErr w:type="spellEnd"/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 (Instituição Científica, Tecnológica e de Inovação, nos termos da Lei de Inovação).</w:t>
      </w:r>
    </w:p>
    <w:p w:rsidR="00B37E30" w:rsidRPr="002A6086" w:rsidRDefault="00B37E30" w:rsidP="00B37E30">
      <w:pPr>
        <w:rPr>
          <w:rFonts w:ascii="Calibri" w:eastAsia="Calibri" w:hAnsi="Calibri" w:cs="Calibri"/>
          <w:b/>
          <w:bCs/>
          <w:kern w:val="2"/>
          <w:sz w:val="23"/>
          <w:szCs w:val="23"/>
        </w:rPr>
      </w:pPr>
    </w:p>
    <w:p w:rsidR="00B37E30" w:rsidRPr="002A6086" w:rsidRDefault="00B37E30" w:rsidP="00B37E30">
      <w:pPr>
        <w:rPr>
          <w:rFonts w:ascii="Calibri" w:eastAsia="Calibri" w:hAnsi="Calibri" w:cs="Calibri"/>
          <w:b/>
          <w:bCs/>
          <w:kern w:val="2"/>
          <w:sz w:val="23"/>
          <w:szCs w:val="23"/>
        </w:rPr>
      </w:pPr>
      <w:r w:rsidRPr="002A6086">
        <w:rPr>
          <w:rFonts w:ascii="Calibri" w:eastAsia="Calibri" w:hAnsi="Calibri" w:cs="Calibri"/>
          <w:b/>
          <w:bCs/>
          <w:kern w:val="2"/>
          <w:sz w:val="23"/>
          <w:szCs w:val="23"/>
        </w:rPr>
        <w:t>Nota Explicativa 7</w:t>
      </w:r>
    </w:p>
    <w:p w:rsidR="00B37E30" w:rsidRPr="002A6086" w:rsidRDefault="00B37E30" w:rsidP="00B37E30">
      <w:pPr>
        <w:spacing w:after="266" w:line="240" w:lineRule="auto"/>
        <w:ind w:right="-1" w:firstLine="708"/>
        <w:jc w:val="both"/>
        <w:rPr>
          <w:rFonts w:ascii="Calibri" w:eastAsia="Calibri" w:hAnsi="Calibri" w:cs="Calibri"/>
          <w:kern w:val="2"/>
          <w:sz w:val="23"/>
          <w:szCs w:val="23"/>
        </w:rPr>
      </w:pPr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 A e-CJU/Residual/CGU/AGU firmou entendimento no DESPACHO n. 00023/2022/COORD/E-CJU/RESIDUAL/CGU/AGU no sentido que o Protocolo de Intenções, </w:t>
      </w:r>
      <w:proofErr w:type="spellStart"/>
      <w:r w:rsidRPr="002A6086">
        <w:rPr>
          <w:rFonts w:ascii="Calibri" w:eastAsia="Calibri" w:hAnsi="Calibri" w:cs="Calibri"/>
          <w:i/>
          <w:iCs/>
          <w:kern w:val="2"/>
          <w:sz w:val="23"/>
          <w:szCs w:val="23"/>
        </w:rPr>
        <w:t>verbis</w:t>
      </w:r>
      <w:proofErr w:type="spellEnd"/>
      <w:r w:rsidRPr="002A6086">
        <w:rPr>
          <w:rFonts w:ascii="Calibri" w:eastAsia="Calibri" w:hAnsi="Calibri" w:cs="Calibri"/>
          <w:kern w:val="2"/>
          <w:sz w:val="23"/>
          <w:szCs w:val="23"/>
        </w:rPr>
        <w:t>, “</w:t>
      </w:r>
      <w:r w:rsidRPr="002A6086">
        <w:rPr>
          <w:rFonts w:ascii="Calibri" w:eastAsia="Calibri" w:hAnsi="Calibri" w:cs="Calibri"/>
          <w:i/>
          <w:iCs/>
          <w:kern w:val="2"/>
          <w:sz w:val="23"/>
          <w:szCs w:val="23"/>
        </w:rPr>
        <w:t>por não conterem disposições obrigacionais, não são passíveis de gerar efeitos jurídicos, o que, portanto, dispensaria a obrigatoriedade de remessa dos autos a esta e-CJU/Residual para análise e aprovação jurídica da respectiva minuta</w:t>
      </w:r>
      <w:r w:rsidRPr="002A6086">
        <w:rPr>
          <w:rFonts w:ascii="Calibri" w:eastAsia="Calibri" w:hAnsi="Calibri" w:cs="Calibri"/>
          <w:kern w:val="2"/>
          <w:sz w:val="23"/>
          <w:szCs w:val="23"/>
        </w:rPr>
        <w:t>”. (</w:t>
      </w:r>
      <w:proofErr w:type="gramStart"/>
      <w:r w:rsidRPr="002A6086">
        <w:rPr>
          <w:rFonts w:ascii="Calibri" w:eastAsia="Calibri" w:hAnsi="Calibri" w:cs="Calibri"/>
          <w:kern w:val="2"/>
          <w:sz w:val="23"/>
          <w:szCs w:val="23"/>
        </w:rPr>
        <w:t>vide</w:t>
      </w:r>
      <w:proofErr w:type="gramEnd"/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: </w:t>
      </w:r>
      <w:hyperlink r:id="rId6" w:history="1">
        <w:r w:rsidRPr="002A6086">
          <w:rPr>
            <w:rFonts w:ascii="Calibri" w:eastAsia="Calibri" w:hAnsi="Calibri" w:cs="Calibri"/>
            <w:i/>
            <w:iCs/>
            <w:color w:val="0563C1"/>
            <w:kern w:val="2"/>
            <w:sz w:val="23"/>
            <w:szCs w:val="23"/>
            <w:u w:val="single"/>
          </w:rPr>
          <w:t>https://supersapiens.agu.gov.br/apps/processo/28248375/visualizar/1454599049-862362596</w:t>
        </w:r>
      </w:hyperlink>
      <w:r w:rsidRPr="002A6086">
        <w:rPr>
          <w:rFonts w:ascii="Calibri" w:eastAsia="Calibri" w:hAnsi="Calibri" w:cs="Calibri"/>
          <w:kern w:val="2"/>
          <w:sz w:val="23"/>
          <w:szCs w:val="23"/>
        </w:rPr>
        <w:t xml:space="preserve">). </w:t>
      </w:r>
    </w:p>
    <w:p w:rsidR="00861DF9" w:rsidRPr="00861DF9" w:rsidRDefault="002A6086" w:rsidP="002A6086">
      <w:pPr>
        <w:spacing w:line="256" w:lineRule="auto"/>
        <w:jc w:val="both"/>
        <w:rPr>
          <w:b/>
        </w:rPr>
      </w:pPr>
      <w:bookmarkStart w:id="0" w:name="_GoBack"/>
      <w:bookmarkEnd w:id="0"/>
      <w:r w:rsidRPr="006C78AB">
        <w:rPr>
          <w:b/>
          <w:sz w:val="24"/>
          <w:szCs w:val="24"/>
        </w:rPr>
        <w:t>Obs.</w:t>
      </w:r>
      <w:r w:rsidRPr="006C78AB">
        <w:rPr>
          <w:b/>
          <w:sz w:val="24"/>
          <w:szCs w:val="24"/>
          <w:u w:val="single"/>
        </w:rPr>
        <w:t>:</w:t>
      </w:r>
      <w:r w:rsidRPr="006C78AB">
        <w:rPr>
          <w:b/>
          <w:sz w:val="24"/>
          <w:szCs w:val="24"/>
        </w:rPr>
        <w:t xml:space="preserve"> As notas explicativas contidas no MODELO de MINUTA devem ser retiradas do texto após o ajuste das cláusulas.</w:t>
      </w:r>
    </w:p>
    <w:sectPr w:rsidR="00861DF9" w:rsidRPr="00861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30"/>
    <w:rsid w:val="002A5DDD"/>
    <w:rsid w:val="002A6086"/>
    <w:rsid w:val="00427A48"/>
    <w:rsid w:val="006B5E5F"/>
    <w:rsid w:val="007C0F00"/>
    <w:rsid w:val="00861DF9"/>
    <w:rsid w:val="00B37E30"/>
    <w:rsid w:val="00C72DA4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C55C-2663-4271-B799-3715DEDD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apiens.agu.gov.br/apps/processo/28248375/visualizar/1454599049-862362596" TargetMode="External"/><Relationship Id="rId5" Type="http://schemas.openxmlformats.org/officeDocument/2006/relationships/hyperlink" Target="https://www.gov.br/agu/pt-br/composicao/cgu/cgu/modelos/cti/modeloger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Fábia Dantas Feitosa</dc:creator>
  <cp:keywords/>
  <dc:description/>
  <cp:lastModifiedBy>Poliana Fábia Dantas Feitosa</cp:lastModifiedBy>
  <cp:revision>5</cp:revision>
  <dcterms:created xsi:type="dcterms:W3CDTF">2024-04-30T16:47:00Z</dcterms:created>
  <dcterms:modified xsi:type="dcterms:W3CDTF">2024-04-30T18:09:00Z</dcterms:modified>
</cp:coreProperties>
</file>