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88" w:rsidRDefault="008A3788" w:rsidP="007F4C69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ANEXO I</w:t>
      </w:r>
    </w:p>
    <w:p w:rsidR="008D7A9D" w:rsidRDefault="008D7A9D" w:rsidP="007F4C69">
      <w:pPr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TERMO DE REFERÊNCIA</w:t>
      </w:r>
    </w:p>
    <w:p w:rsidR="00925D03" w:rsidRPr="0000392B" w:rsidRDefault="00473A3D" w:rsidP="007F4C69">
      <w:pPr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ELETRÔNICO </w:t>
      </w:r>
    </w:p>
    <w:p w:rsidR="001E14AF" w:rsidRPr="0000392B" w:rsidRDefault="001E14AF" w:rsidP="007F4C69">
      <w:pPr>
        <w:jc w:val="center"/>
        <w:rPr>
          <w:rFonts w:cs="Arial"/>
          <w:b/>
          <w:bCs/>
          <w:iCs/>
          <w:color w:val="000000"/>
          <w:szCs w:val="20"/>
        </w:rPr>
      </w:pPr>
      <w:r w:rsidRPr="0000392B">
        <w:rPr>
          <w:rFonts w:cs="Arial"/>
          <w:b/>
          <w:bCs/>
          <w:iCs/>
          <w:color w:val="000000"/>
          <w:szCs w:val="20"/>
        </w:rPr>
        <w:t>(COMPRA</w:t>
      </w:r>
      <w:r w:rsidR="00925D03" w:rsidRPr="0000392B">
        <w:rPr>
          <w:rFonts w:cs="Arial"/>
          <w:b/>
          <w:bCs/>
          <w:iCs/>
          <w:color w:val="000000"/>
          <w:szCs w:val="20"/>
        </w:rPr>
        <w:t>S</w:t>
      </w:r>
      <w:r w:rsidRPr="0000392B">
        <w:rPr>
          <w:rFonts w:cs="Arial"/>
          <w:b/>
          <w:bCs/>
          <w:i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i/>
          <w:color w:val="FF0000"/>
          <w:szCs w:val="20"/>
        </w:rPr>
      </w:pPr>
    </w:p>
    <w:p w:rsidR="001E14AF" w:rsidRPr="003D1D5C" w:rsidRDefault="008A3788" w:rsidP="00453B1D">
      <w:pPr>
        <w:spacing w:line="276" w:lineRule="auto"/>
        <w:jc w:val="center"/>
        <w:rPr>
          <w:rFonts w:cs="Arial"/>
          <w:b/>
          <w:bCs/>
          <w:szCs w:val="20"/>
        </w:rPr>
      </w:pPr>
      <w:r w:rsidRPr="003D1D5C">
        <w:rPr>
          <w:rFonts w:cs="Arial"/>
          <w:b/>
          <w:bCs/>
          <w:szCs w:val="20"/>
        </w:rPr>
        <w:t>UNIVERSIDADE FEDERAL DE ALAGOAS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 xml:space="preserve">PREGÃO </w:t>
      </w:r>
      <w:r w:rsidR="00836F8B">
        <w:rPr>
          <w:rFonts w:cs="Arial"/>
          <w:b/>
          <w:bCs/>
          <w:color w:val="000000"/>
          <w:szCs w:val="20"/>
        </w:rPr>
        <w:t xml:space="preserve">SRP </w:t>
      </w:r>
      <w:r w:rsidRPr="0000392B">
        <w:rPr>
          <w:rFonts w:cs="Arial"/>
          <w:b/>
          <w:bCs/>
          <w:color w:val="000000"/>
          <w:szCs w:val="20"/>
        </w:rPr>
        <w:t xml:space="preserve">Nº </w:t>
      </w:r>
      <w:r w:rsidR="001D45E2">
        <w:rPr>
          <w:rFonts w:cs="Arial"/>
          <w:b/>
          <w:bCs/>
          <w:color w:val="000000"/>
          <w:szCs w:val="20"/>
        </w:rPr>
        <w:t>07</w:t>
      </w:r>
      <w:r w:rsidRPr="0000392B">
        <w:rPr>
          <w:rFonts w:cs="Arial"/>
          <w:b/>
          <w:bCs/>
          <w:color w:val="000000"/>
          <w:szCs w:val="20"/>
        </w:rPr>
        <w:t>/20</w:t>
      </w:r>
      <w:r w:rsidR="00836F8B">
        <w:rPr>
          <w:rFonts w:cs="Arial"/>
          <w:b/>
          <w:bCs/>
          <w:color w:val="000000"/>
          <w:szCs w:val="20"/>
        </w:rPr>
        <w:t>19</w:t>
      </w:r>
    </w:p>
    <w:p w:rsidR="001E14AF" w:rsidRPr="0000392B" w:rsidRDefault="001E14AF" w:rsidP="00453B1D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b/>
          <w:bCs/>
          <w:color w:val="000000"/>
          <w:szCs w:val="20"/>
        </w:rPr>
        <w:t>(Processo Administrativo n.°</w:t>
      </w:r>
      <w:r w:rsidR="00836F8B">
        <w:rPr>
          <w:rFonts w:cs="Arial"/>
          <w:b/>
          <w:bCs/>
          <w:color w:val="000000"/>
          <w:szCs w:val="20"/>
        </w:rPr>
        <w:t xml:space="preserve"> </w:t>
      </w:r>
      <w:r w:rsidR="001D45E2">
        <w:rPr>
          <w:rFonts w:cs="Arial"/>
          <w:b/>
          <w:bCs/>
          <w:color w:val="000000"/>
          <w:szCs w:val="20"/>
        </w:rPr>
        <w:t>23065.012610/20</w:t>
      </w:r>
      <w:r w:rsidR="001D45E2" w:rsidRPr="001D45E2">
        <w:rPr>
          <w:rFonts w:cs="Arial"/>
          <w:b/>
          <w:bCs/>
          <w:color w:val="000000"/>
          <w:szCs w:val="20"/>
        </w:rPr>
        <w:t>19-15</w:t>
      </w:r>
      <w:r w:rsidRPr="0000392B">
        <w:rPr>
          <w:rFonts w:cs="Arial"/>
          <w:b/>
          <w:bCs/>
          <w:color w:val="000000"/>
          <w:szCs w:val="20"/>
        </w:rPr>
        <w:t>)</w:t>
      </w:r>
    </w:p>
    <w:p w:rsidR="001E14AF" w:rsidRPr="0000392B" w:rsidRDefault="001E14AF" w:rsidP="0029415B">
      <w:pPr>
        <w:spacing w:after="120" w:line="276" w:lineRule="auto"/>
        <w:ind w:right="-15"/>
        <w:jc w:val="center"/>
        <w:rPr>
          <w:rFonts w:cs="Arial"/>
          <w:b/>
          <w:bCs/>
          <w:color w:val="000000"/>
          <w:szCs w:val="20"/>
        </w:rPr>
      </w:pPr>
    </w:p>
    <w:p w:rsidR="001E14AF" w:rsidRPr="0000392B" w:rsidRDefault="001E14AF" w:rsidP="00DE7070">
      <w:pPr>
        <w:pStyle w:val="Nivel1"/>
      </w:pPr>
      <w:r w:rsidRPr="0000392B">
        <w:t>DO OBJETO</w:t>
      </w:r>
    </w:p>
    <w:p w:rsidR="001E14AF" w:rsidRPr="00396F56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396F56">
        <w:rPr>
          <w:rFonts w:cs="Arial"/>
          <w:szCs w:val="20"/>
        </w:rPr>
        <w:t>Aquisição de</w:t>
      </w:r>
      <w:r w:rsidR="00396F56" w:rsidRPr="00396F56">
        <w:rPr>
          <w:rFonts w:cs="Arial"/>
          <w:szCs w:val="20"/>
        </w:rPr>
        <w:t xml:space="preserve"> </w:t>
      </w:r>
      <w:proofErr w:type="spellStart"/>
      <w:r w:rsidR="00396F56" w:rsidRPr="00396F56">
        <w:rPr>
          <w:rFonts w:cs="Arial"/>
          <w:szCs w:val="20"/>
        </w:rPr>
        <w:t>maravalha</w:t>
      </w:r>
      <w:proofErr w:type="spellEnd"/>
      <w:r w:rsidR="00396F56" w:rsidRPr="00396F56">
        <w:rPr>
          <w:rFonts w:cs="Arial"/>
          <w:szCs w:val="20"/>
        </w:rPr>
        <w:t xml:space="preserve"> para o Biotério Central da UFAL</w:t>
      </w:r>
      <w:r w:rsidRPr="00396F56">
        <w:rPr>
          <w:rFonts w:cs="Arial"/>
          <w:b/>
          <w:szCs w:val="20"/>
        </w:rPr>
        <w:t>,</w:t>
      </w:r>
      <w:r w:rsidRPr="00396F56">
        <w:rPr>
          <w:rFonts w:cs="Arial"/>
          <w:szCs w:val="20"/>
        </w:rPr>
        <w:t xml:space="preserve"> conforme condições, quantidades e exigências estabelecidas neste instrumento: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1275"/>
        <w:gridCol w:w="1276"/>
        <w:gridCol w:w="851"/>
        <w:gridCol w:w="1275"/>
      </w:tblGrid>
      <w:tr w:rsidR="0084683E" w:rsidRPr="00A92878" w:rsidTr="00A92878">
        <w:trPr>
          <w:jc w:val="center"/>
        </w:trPr>
        <w:tc>
          <w:tcPr>
            <w:tcW w:w="426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ITEM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683E" w:rsidRPr="00A92878" w:rsidRDefault="0084683E" w:rsidP="005720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DESCRIÇÃO/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5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IDENTIFICAÇÃO CATMAT</w:t>
            </w:r>
          </w:p>
        </w:tc>
        <w:tc>
          <w:tcPr>
            <w:tcW w:w="1276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851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color w:val="000000"/>
                <w:sz w:val="18"/>
                <w:szCs w:val="18"/>
              </w:rPr>
              <w:t>QTDE</w:t>
            </w:r>
          </w:p>
        </w:tc>
        <w:tc>
          <w:tcPr>
            <w:tcW w:w="1275" w:type="dxa"/>
          </w:tcPr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i/>
                <w:sz w:val="18"/>
                <w:szCs w:val="18"/>
              </w:rPr>
              <w:t>VALOR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i/>
                <w:sz w:val="18"/>
                <w:szCs w:val="18"/>
              </w:rPr>
              <w:t>MÁXIMO</w:t>
            </w:r>
          </w:p>
          <w:p w:rsidR="0084683E" w:rsidRPr="00A92878" w:rsidRDefault="0084683E" w:rsidP="0057203C">
            <w:pPr>
              <w:widowControl w:val="0"/>
              <w:suppressAutoHyphens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92878">
              <w:rPr>
                <w:rFonts w:cs="Arial"/>
                <w:b/>
                <w:bCs/>
                <w:i/>
                <w:sz w:val="18"/>
                <w:szCs w:val="18"/>
              </w:rPr>
              <w:t>ACEITÁVEL</w:t>
            </w:r>
          </w:p>
        </w:tc>
      </w:tr>
      <w:tr w:rsidR="0084683E" w:rsidRPr="00A92878" w:rsidTr="00A92878">
        <w:trPr>
          <w:jc w:val="center"/>
        </w:trPr>
        <w:tc>
          <w:tcPr>
            <w:tcW w:w="426" w:type="dxa"/>
          </w:tcPr>
          <w:p w:rsidR="0084683E" w:rsidRPr="00A92878" w:rsidRDefault="001D45E2" w:rsidP="0029415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969" w:type="dxa"/>
          </w:tcPr>
          <w:p w:rsidR="001D45E2" w:rsidRPr="001D45E2" w:rsidRDefault="001D45E2" w:rsidP="001D45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D45E2">
              <w:rPr>
                <w:rFonts w:cs="Arial"/>
                <w:sz w:val="18"/>
                <w:szCs w:val="18"/>
              </w:rPr>
              <w:t>MARAVALHA DE PINUS, SEM MISTURAS DE OUTRAS MADEIRAS, SECA, MACIA, ISENTA DE FARPAS,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D45E2">
              <w:rPr>
                <w:rFonts w:cs="Arial"/>
                <w:sz w:val="18"/>
                <w:szCs w:val="18"/>
              </w:rPr>
              <w:t>IMPUREZAS, RESINAS, INSETICIDAS E OUTROS CONTAMINANTES QUÍMICOS, OBTIDA DE MADEIRA INODORA NA COR MARFIM,</w:t>
            </w:r>
          </w:p>
          <w:p w:rsidR="001D45E2" w:rsidRPr="001D45E2" w:rsidRDefault="001D45E2" w:rsidP="001D45E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D45E2">
              <w:rPr>
                <w:rFonts w:cs="Arial"/>
                <w:sz w:val="18"/>
                <w:szCs w:val="18"/>
              </w:rPr>
              <w:t xml:space="preserve">LASCAS COM ESPESSURA MÁXIMA DE </w:t>
            </w:r>
            <w:proofErr w:type="gramStart"/>
            <w:r w:rsidRPr="001D45E2">
              <w:rPr>
                <w:rFonts w:cs="Arial"/>
                <w:sz w:val="18"/>
                <w:szCs w:val="18"/>
              </w:rPr>
              <w:t>1 MM</w:t>
            </w:r>
            <w:proofErr w:type="gramEnd"/>
            <w:r w:rsidRPr="001D45E2">
              <w:rPr>
                <w:rFonts w:cs="Arial"/>
                <w:sz w:val="18"/>
                <w:szCs w:val="18"/>
              </w:rPr>
              <w:t xml:space="preserve">. DEVE POSSUIR ÓTIMA CAPACIDADE DE ABSORÇÃO DE ÁGUA, SEM </w:t>
            </w:r>
            <w:proofErr w:type="gramStart"/>
            <w:r w:rsidRPr="001D45E2">
              <w:rPr>
                <w:rFonts w:cs="Arial"/>
                <w:sz w:val="18"/>
                <w:szCs w:val="18"/>
              </w:rPr>
              <w:t>PRESENÇA</w:t>
            </w:r>
            <w:proofErr w:type="gramEnd"/>
          </w:p>
          <w:p w:rsidR="0084683E" w:rsidRPr="00A92878" w:rsidRDefault="001D45E2" w:rsidP="001D45E2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1D45E2">
              <w:rPr>
                <w:rFonts w:cs="Arial"/>
                <w:sz w:val="18"/>
                <w:szCs w:val="18"/>
              </w:rPr>
              <w:t xml:space="preserve">MACROSCÓPICA DE FUNGOS MANCHADORES E APODRECEDORES EMBALADOS EM SACOS DE RÁFIA (AUTOCLAVÁVEL) DE </w:t>
            </w:r>
            <w:proofErr w:type="gramStart"/>
            <w:r w:rsidRPr="001D45E2">
              <w:rPr>
                <w:rFonts w:cs="Arial"/>
                <w:sz w:val="18"/>
                <w:szCs w:val="18"/>
              </w:rPr>
              <w:t>5KG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1D45E2">
              <w:rPr>
                <w:rFonts w:cs="Arial"/>
                <w:sz w:val="18"/>
                <w:szCs w:val="18"/>
              </w:rPr>
              <w:t>COSTURADOS A MÁQUINA. GARANTIA DO PRODUTO: 12 MESES.</w:t>
            </w:r>
          </w:p>
        </w:tc>
        <w:tc>
          <w:tcPr>
            <w:tcW w:w="1275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10871</w:t>
            </w:r>
          </w:p>
        </w:tc>
        <w:tc>
          <w:tcPr>
            <w:tcW w:w="1276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UNIDADE</w:t>
            </w:r>
          </w:p>
        </w:tc>
        <w:tc>
          <w:tcPr>
            <w:tcW w:w="851" w:type="dxa"/>
          </w:tcPr>
          <w:p w:rsidR="0084683E" w:rsidRPr="00A92878" w:rsidRDefault="00A92878" w:rsidP="0029415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84683E" w:rsidRPr="00A92878" w:rsidRDefault="00A92878" w:rsidP="001D45E2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A92878">
              <w:rPr>
                <w:rFonts w:cs="Arial"/>
                <w:sz w:val="18"/>
                <w:szCs w:val="18"/>
              </w:rPr>
              <w:t xml:space="preserve">R$ </w:t>
            </w:r>
            <w:r w:rsidR="001D45E2">
              <w:rPr>
                <w:rFonts w:cs="Arial"/>
                <w:sz w:val="18"/>
                <w:szCs w:val="18"/>
              </w:rPr>
              <w:t>44,01</w:t>
            </w:r>
          </w:p>
        </w:tc>
      </w:tr>
    </w:tbl>
    <w:p w:rsidR="002C7035" w:rsidRPr="002C7035" w:rsidRDefault="002C7035" w:rsidP="00A6172C">
      <w:pPr>
        <w:spacing w:before="120" w:after="120" w:line="276" w:lineRule="auto"/>
        <w:jc w:val="both"/>
        <w:rPr>
          <w:rFonts w:cs="Arial"/>
          <w:b/>
          <w:i/>
          <w:color w:val="FF0000"/>
          <w:szCs w:val="20"/>
        </w:rPr>
      </w:pPr>
    </w:p>
    <w:p w:rsidR="00453B1D" w:rsidRPr="005641A6" w:rsidRDefault="00576E0B" w:rsidP="00453B1D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szCs w:val="20"/>
        </w:rPr>
      </w:pPr>
      <w:r w:rsidRPr="005641A6">
        <w:rPr>
          <w:rFonts w:cs="Arial"/>
          <w:szCs w:val="20"/>
        </w:rPr>
        <w:t>Não haverá aplicação de prioridades para empresas ME/EPP devido ao fato de que a unidade re</w:t>
      </w:r>
      <w:r w:rsidR="002873C8" w:rsidRPr="005641A6">
        <w:rPr>
          <w:rFonts w:cs="Arial"/>
          <w:szCs w:val="20"/>
        </w:rPr>
        <w:t>quisitante não pôde comprovar o preço praticado por empresas deste porte em caráter regional</w:t>
      </w:r>
      <w:r w:rsidR="005641A6" w:rsidRPr="005641A6">
        <w:rPr>
          <w:rFonts w:cs="Arial"/>
          <w:szCs w:val="20"/>
        </w:rPr>
        <w:t xml:space="preserve">, conforme previsto no artigo 10 do Decreto n. 8538/2015. </w:t>
      </w:r>
      <w:r w:rsidRPr="005641A6">
        <w:rPr>
          <w:rFonts w:cs="Arial"/>
          <w:szCs w:val="20"/>
        </w:rPr>
        <w:t xml:space="preserve"> </w:t>
      </w:r>
    </w:p>
    <w:p w:rsidR="000B1AC5" w:rsidRPr="00520536" w:rsidRDefault="000B1AC5" w:rsidP="000B1AC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bCs/>
          <w:iCs/>
          <w:color w:val="000000"/>
          <w:szCs w:val="20"/>
        </w:rPr>
        <w:t xml:space="preserve">O prazo de vigência da contratação é de </w:t>
      </w:r>
      <w:r w:rsidR="005641A6" w:rsidRPr="005641A6">
        <w:rPr>
          <w:rFonts w:cs="Arial"/>
          <w:bCs/>
          <w:iCs/>
          <w:szCs w:val="20"/>
        </w:rPr>
        <w:t>12 meses,</w:t>
      </w:r>
      <w:r w:rsidRPr="00413DFC">
        <w:rPr>
          <w:rFonts w:cs="Arial"/>
          <w:bCs/>
          <w:iCs/>
          <w:color w:val="FF0000"/>
          <w:szCs w:val="20"/>
        </w:rPr>
        <w:t xml:space="preserve"> </w:t>
      </w:r>
      <w:r w:rsidR="005641A6">
        <w:rPr>
          <w:rFonts w:cs="Arial"/>
          <w:bCs/>
          <w:iCs/>
          <w:color w:val="000000"/>
          <w:szCs w:val="20"/>
        </w:rPr>
        <w:t>contados da assinatura da ata,</w:t>
      </w:r>
      <w:r w:rsidR="005641A6" w:rsidRPr="00413DFC">
        <w:rPr>
          <w:rFonts w:cs="Arial"/>
          <w:bCs/>
          <w:iCs/>
          <w:color w:val="FF0000"/>
          <w:szCs w:val="20"/>
        </w:rPr>
        <w:t xml:space="preserve"> </w:t>
      </w:r>
      <w:r w:rsidRPr="00413DFC">
        <w:rPr>
          <w:rFonts w:cs="Arial"/>
          <w:bCs/>
          <w:iCs/>
          <w:color w:val="000000"/>
          <w:szCs w:val="20"/>
        </w:rPr>
        <w:t>prorrogável na forma do art. 57, § 1°, da Lei n° 8.666/93.</w:t>
      </w:r>
    </w:p>
    <w:p w:rsidR="00CB29CC" w:rsidRPr="00CB29CC" w:rsidRDefault="00520536" w:rsidP="002C703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b/>
          <w:szCs w:val="20"/>
        </w:rPr>
      </w:pPr>
      <w:r w:rsidRPr="00CB29CC">
        <w:rPr>
          <w:rFonts w:cs="Arial"/>
          <w:bCs/>
          <w:color w:val="000000"/>
          <w:szCs w:val="20"/>
        </w:rPr>
        <w:t>Não foram adotados critérios de sustentabilidade para aquisição dos itens</w:t>
      </w:r>
      <w:r w:rsidR="00CB29CC" w:rsidRPr="00CB29CC">
        <w:rPr>
          <w:rFonts w:cs="Arial"/>
          <w:bCs/>
          <w:color w:val="000000"/>
          <w:szCs w:val="20"/>
        </w:rPr>
        <w:t xml:space="preserve">, conforme descrito na página 54 do Guia Nacional de Licitações Sustentáveis – AGU, devido </w:t>
      </w:r>
      <w:r w:rsidR="00213834">
        <w:rPr>
          <w:rFonts w:cs="Arial"/>
          <w:bCs/>
          <w:color w:val="000000"/>
          <w:szCs w:val="20"/>
        </w:rPr>
        <w:t>à</w:t>
      </w:r>
      <w:r w:rsidR="00CB29CC" w:rsidRPr="00CB29CC">
        <w:rPr>
          <w:rFonts w:cs="Arial"/>
          <w:bCs/>
          <w:color w:val="000000"/>
          <w:szCs w:val="20"/>
        </w:rPr>
        <w:t xml:space="preserve"> impossibilidade dos produtos licitados serem fornecidos por agricultores familiares, </w:t>
      </w:r>
      <w:r w:rsidR="00CB29CC">
        <w:rPr>
          <w:rFonts w:cs="Arial"/>
          <w:bCs/>
          <w:color w:val="000000"/>
          <w:szCs w:val="20"/>
        </w:rPr>
        <w:t xml:space="preserve">uma vez que os bens são industrializados e sofrem tratamento durante o processo de fabricação, conferindo-lhes características </w:t>
      </w:r>
      <w:r w:rsidR="00DA06AB">
        <w:rPr>
          <w:rFonts w:cs="Arial"/>
          <w:bCs/>
          <w:color w:val="000000"/>
          <w:szCs w:val="20"/>
        </w:rPr>
        <w:t>específicas. A unidade requisitante adota como critério sustentável a utilização racional de todos os materiais, assim como o descarte por empresa especializada de todos os resíduos produzidos</w:t>
      </w:r>
      <w:r w:rsidR="00213834">
        <w:rPr>
          <w:rFonts w:cs="Arial"/>
          <w:bCs/>
          <w:color w:val="000000"/>
          <w:szCs w:val="20"/>
        </w:rPr>
        <w:t xml:space="preserve"> (</w:t>
      </w:r>
      <w:proofErr w:type="spellStart"/>
      <w:r w:rsidR="00213834">
        <w:rPr>
          <w:rFonts w:cs="Arial"/>
          <w:bCs/>
          <w:color w:val="000000"/>
          <w:szCs w:val="20"/>
        </w:rPr>
        <w:t>Serquip</w:t>
      </w:r>
      <w:proofErr w:type="spellEnd"/>
      <w:r w:rsidR="00213834">
        <w:rPr>
          <w:rFonts w:cs="Arial"/>
          <w:bCs/>
          <w:color w:val="000000"/>
          <w:szCs w:val="20"/>
        </w:rPr>
        <w:t xml:space="preserve"> Tratamento de </w:t>
      </w:r>
      <w:proofErr w:type="gramStart"/>
      <w:r w:rsidR="00213834">
        <w:rPr>
          <w:rFonts w:cs="Arial"/>
          <w:bCs/>
          <w:color w:val="000000"/>
          <w:szCs w:val="20"/>
        </w:rPr>
        <w:t>Resíduos AL</w:t>
      </w:r>
      <w:proofErr w:type="gramEnd"/>
      <w:r w:rsidR="00213834">
        <w:rPr>
          <w:rFonts w:cs="Arial"/>
          <w:bCs/>
          <w:color w:val="000000"/>
          <w:szCs w:val="20"/>
        </w:rPr>
        <w:t xml:space="preserve"> LTDA – 06.121.325/0001-09)</w:t>
      </w:r>
      <w:r w:rsidR="00DA06AB">
        <w:rPr>
          <w:rFonts w:cs="Arial"/>
          <w:bCs/>
          <w:color w:val="000000"/>
          <w:szCs w:val="20"/>
        </w:rPr>
        <w:t>.</w:t>
      </w:r>
      <w:proofErr w:type="gramStart"/>
    </w:p>
    <w:p w:rsidR="00A25E48" w:rsidRPr="0000392B" w:rsidRDefault="00A25E48" w:rsidP="00DE7070">
      <w:pPr>
        <w:pStyle w:val="Nivel1"/>
      </w:pPr>
      <w:proofErr w:type="gramEnd"/>
      <w:r w:rsidRPr="0000392B">
        <w:t>JUSTIFICATIVA E OBJETIVO DA CONTRATAÇÃO</w:t>
      </w:r>
    </w:p>
    <w:p w:rsidR="000066B7" w:rsidRDefault="000066B7" w:rsidP="000066B7">
      <w:pPr>
        <w:spacing w:line="360" w:lineRule="auto"/>
        <w:ind w:firstLine="708"/>
        <w:jc w:val="both"/>
      </w:pPr>
      <w:r>
        <w:t xml:space="preserve">2.1 </w:t>
      </w:r>
      <w:r w:rsidR="00744D09">
        <w:rPr>
          <w:rFonts w:cs="Arial"/>
          <w:color w:val="000000"/>
        </w:rPr>
        <w:t xml:space="preserve">A compra solicitada se destina a atender as demandas do Biotério Central e setoriais, que desenvolvem as seguintes atividades: criação, manutenção, fornecimento e experimentação </w:t>
      </w:r>
      <w:proofErr w:type="gramStart"/>
      <w:r w:rsidR="00744D09">
        <w:rPr>
          <w:rFonts w:cs="Arial"/>
          <w:color w:val="000000"/>
        </w:rPr>
        <w:t>animal</w:t>
      </w:r>
      <w:proofErr w:type="gramEnd"/>
      <w:r w:rsidR="00744D09">
        <w:rPr>
          <w:rFonts w:cs="Arial"/>
          <w:color w:val="000000"/>
        </w:rPr>
        <w:t xml:space="preserve">. O material é necessário devido às necessidades fisiológicas dos animais mantidos nessas unidades e </w:t>
      </w:r>
      <w:r w:rsidR="00744D09">
        <w:rPr>
          <w:rFonts w:cs="Arial"/>
          <w:color w:val="000000"/>
        </w:rPr>
        <w:lastRenderedPageBreak/>
        <w:t>a não aquisição implicará no comprometimento do bem-estar dos animais, destas unidades, favorecendo a transtornos fisiológicos, sanitários levando os animais a sofrimento e, consequentemente, ao óbito</w:t>
      </w:r>
      <w:r>
        <w:t xml:space="preserve">. </w:t>
      </w:r>
    </w:p>
    <w:p w:rsidR="000066B7" w:rsidRDefault="000066B7" w:rsidP="000066B7">
      <w:pPr>
        <w:spacing w:line="360" w:lineRule="auto"/>
        <w:ind w:firstLine="708"/>
        <w:jc w:val="both"/>
      </w:pPr>
      <w:r>
        <w:t xml:space="preserve">2.2 </w:t>
      </w:r>
      <w:r w:rsidR="004254D0">
        <w:t>O quantitativo estabelecido foi baseado em função da média dos anos anteriores e na projeção do aumento da demanda das unidades acadêmicas</w:t>
      </w:r>
      <w:r>
        <w:t>.</w:t>
      </w:r>
    </w:p>
    <w:p w:rsidR="000066B7" w:rsidRDefault="000066B7" w:rsidP="000066B7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2.3 As especificações técnicas e quantitativas dos materiais a serem adquiridos, estão de acordo com o previsto no artigo 15, </w:t>
      </w:r>
      <w:r w:rsidRPr="007A195E">
        <w:rPr>
          <w:rFonts w:cs="Arial"/>
        </w:rPr>
        <w:t>§</w:t>
      </w:r>
      <w:r>
        <w:rPr>
          <w:rFonts w:cs="Arial"/>
        </w:rPr>
        <w:t xml:space="preserve"> 7º, da Lei 8.666/93, demonstrados explicitamente no Termo de Referência.</w:t>
      </w:r>
    </w:p>
    <w:p w:rsidR="004254D0" w:rsidRDefault="004254D0" w:rsidP="004254D0">
      <w:pPr>
        <w:spacing w:line="360" w:lineRule="auto"/>
        <w:ind w:firstLine="708"/>
        <w:jc w:val="both"/>
      </w:pPr>
      <w:r>
        <w:rPr>
          <w:rFonts w:cs="Arial"/>
        </w:rPr>
        <w:t>2.4</w:t>
      </w:r>
      <w:r w:rsidR="000066B7">
        <w:rPr>
          <w:rFonts w:cs="Arial"/>
        </w:rPr>
        <w:t xml:space="preserve"> </w:t>
      </w:r>
      <w:r>
        <w:t>A abertura deste processo licitatório se faz necessária visto que os processos onde o item pretendido para aquisição pela Universidade Federal de Alagoas – UFAL sofrerão frustrações durante alguma etapa de tramitação, como detalhado abaixo:</w:t>
      </w:r>
    </w:p>
    <w:p w:rsidR="004254D0" w:rsidRDefault="004254D0" w:rsidP="004254D0">
      <w:pPr>
        <w:spacing w:line="360" w:lineRule="auto"/>
        <w:ind w:firstLine="993"/>
        <w:jc w:val="both"/>
      </w:pPr>
      <w:r>
        <w:t>2.4.1</w:t>
      </w:r>
      <w:proofErr w:type="gramStart"/>
      <w:r>
        <w:t xml:space="preserve">  </w:t>
      </w:r>
      <w:proofErr w:type="gramEnd"/>
      <w:r>
        <w:t>PE 01/2018 que estava vigente até 15/04/2019 para o insumo, não teve o fornecimento concretizado devido ao desinteresse do licitante me fornecer o material para a UFAL,  conforme processo nº 23065.009885/2019-71 encaminhado ao GR/UFAL;</w:t>
      </w:r>
    </w:p>
    <w:p w:rsidR="00D238F1" w:rsidRDefault="004254D0" w:rsidP="004254D0">
      <w:pPr>
        <w:spacing w:line="360" w:lineRule="auto"/>
        <w:ind w:firstLine="993"/>
        <w:jc w:val="both"/>
        <w:rPr>
          <w:rFonts w:cs="Arial"/>
        </w:rPr>
      </w:pPr>
      <w:r>
        <w:t>2.4.2</w:t>
      </w:r>
      <w:proofErr w:type="gramStart"/>
      <w:r>
        <w:t xml:space="preserve">  </w:t>
      </w:r>
      <w:proofErr w:type="gramEnd"/>
      <w:r>
        <w:t xml:space="preserve">Diante do fato ocorrido com o PE 01/2018, iniciou-se novo processo aquisitivo sob nº 23065.007062/2019-10, PE 03/2019, operado em 16/04/2019. No entanto, foi frustrado devido ao desinteresse dos fornecedores em negociar o valor ofertado ao item pelo valor </w:t>
      </w:r>
      <w:proofErr w:type="gramStart"/>
      <w:r>
        <w:t>estimado</w:t>
      </w:r>
      <w:r w:rsidR="00D238F1">
        <w:rPr>
          <w:rFonts w:cs="Arial"/>
        </w:rPr>
        <w:t>2.</w:t>
      </w:r>
      <w:proofErr w:type="gramEnd"/>
      <w:r w:rsidR="00D238F1">
        <w:rPr>
          <w:rFonts w:cs="Arial"/>
        </w:rPr>
        <w:t xml:space="preserve">3.2 As especificações também objetivam a redução de gastos orçamentários com insumos, onde produtos com baixa compactação, em embalagens inadequadas, geram maior volume de pó por saco e, consequentemente, o consumo de sacos de ração aumenta. </w:t>
      </w:r>
    </w:p>
    <w:p w:rsidR="001E14AF" w:rsidRPr="0000392B" w:rsidRDefault="001E14AF" w:rsidP="00DE7070">
      <w:pPr>
        <w:pStyle w:val="Nivel1"/>
      </w:pPr>
      <w:r w:rsidRPr="0000392B">
        <w:t>CLASSIFICAÇÃO DOS BENS COMUNS</w:t>
      </w:r>
    </w:p>
    <w:p w:rsidR="00291654" w:rsidRPr="00452397" w:rsidRDefault="00291654" w:rsidP="00291654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szCs w:val="20"/>
        </w:rPr>
      </w:pPr>
      <w:r w:rsidRPr="00452397">
        <w:rPr>
          <w:rFonts w:cs="Arial"/>
          <w:szCs w:val="20"/>
        </w:rPr>
        <w:t>Os bens a serem adquiridos enquadram-se na classificação de bens comuns, nos termos da Lei n° 10.520, de 2002, do Decreto n° 3.555, de 2000, e do Decreto 5.450, de 2005.</w:t>
      </w:r>
    </w:p>
    <w:p w:rsidR="001E14AF" w:rsidRPr="0000392B" w:rsidRDefault="00291654" w:rsidP="00DE7070">
      <w:pPr>
        <w:pStyle w:val="Nivel1"/>
      </w:pPr>
      <w:r>
        <w:t>E</w:t>
      </w:r>
      <w:r w:rsidR="001E14AF" w:rsidRPr="0000392B">
        <w:t>NTREGA E CRITÉRIOS DE ACEITAÇÃO DO OBJETO.</w:t>
      </w:r>
    </w:p>
    <w:p w:rsidR="001E14AF" w:rsidRPr="00413CA7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iCs/>
          <w:color w:val="000000"/>
          <w:szCs w:val="20"/>
        </w:rPr>
        <w:t xml:space="preserve">O prazo de entrega dos bens é de </w:t>
      </w:r>
      <w:r w:rsidR="00291654" w:rsidRPr="00413CA7">
        <w:rPr>
          <w:rFonts w:cs="Arial"/>
          <w:iCs/>
          <w:szCs w:val="20"/>
        </w:rPr>
        <w:t>30</w:t>
      </w:r>
      <w:r w:rsidRPr="0000392B">
        <w:rPr>
          <w:rFonts w:cs="Arial"/>
          <w:iCs/>
          <w:color w:val="FF0000"/>
          <w:szCs w:val="20"/>
        </w:rPr>
        <w:t xml:space="preserve"> </w:t>
      </w:r>
      <w:r w:rsidRPr="0000392B">
        <w:rPr>
          <w:rFonts w:cs="Arial"/>
          <w:iCs/>
          <w:color w:val="000000"/>
          <w:szCs w:val="20"/>
        </w:rPr>
        <w:t xml:space="preserve">dias, contados </w:t>
      </w:r>
      <w:r w:rsidR="00291654">
        <w:rPr>
          <w:rFonts w:cs="Arial"/>
          <w:iCs/>
          <w:color w:val="000000"/>
          <w:szCs w:val="20"/>
        </w:rPr>
        <w:t xml:space="preserve">a partir do recebimento da nota de empenho, </w:t>
      </w:r>
      <w:r w:rsidRPr="0000392B">
        <w:rPr>
          <w:rFonts w:cs="Arial"/>
          <w:iCs/>
          <w:color w:val="000000"/>
          <w:szCs w:val="20"/>
        </w:rPr>
        <w:t xml:space="preserve">em remessa </w:t>
      </w:r>
      <w:r w:rsidRPr="00413CA7">
        <w:rPr>
          <w:rFonts w:cs="Arial"/>
          <w:iCs/>
          <w:szCs w:val="20"/>
        </w:rPr>
        <w:t>parcelada,</w:t>
      </w:r>
      <w:r w:rsidRPr="0000392B">
        <w:rPr>
          <w:rFonts w:cs="Arial"/>
          <w:iCs/>
          <w:color w:val="000000"/>
          <w:szCs w:val="20"/>
        </w:rPr>
        <w:t xml:space="preserve"> no seguinte endereço</w:t>
      </w:r>
      <w:r w:rsidR="00413CA7">
        <w:rPr>
          <w:rFonts w:cs="Arial"/>
          <w:iCs/>
          <w:color w:val="000000"/>
          <w:szCs w:val="20"/>
        </w:rPr>
        <w:t xml:space="preserve">: Biotério Central da UFAL, Campus A. C. Simões, Avenida Lourival de Melo Mota, S/N, Tabuleiro do Martins, Maceió-AL, CEP 57072-970, telefone (82) 3214-1112, de segunda a sexta-feira, no horário de </w:t>
      </w:r>
      <w:proofErr w:type="gramStart"/>
      <w:r w:rsidR="00413CA7">
        <w:rPr>
          <w:rFonts w:cs="Arial"/>
          <w:iCs/>
          <w:color w:val="000000"/>
          <w:szCs w:val="20"/>
        </w:rPr>
        <w:t>07:00</w:t>
      </w:r>
      <w:proofErr w:type="gramEnd"/>
      <w:r w:rsidR="00413CA7">
        <w:rPr>
          <w:rFonts w:cs="Arial"/>
          <w:iCs/>
          <w:color w:val="000000"/>
          <w:szCs w:val="20"/>
        </w:rPr>
        <w:t xml:space="preserve"> às 13:00h.</w:t>
      </w:r>
    </w:p>
    <w:p w:rsidR="00413CA7" w:rsidRPr="00A646BF" w:rsidRDefault="00413CA7" w:rsidP="00413CA7">
      <w:pPr>
        <w:numPr>
          <w:ilvl w:val="2"/>
          <w:numId w:val="1"/>
        </w:numPr>
        <w:spacing w:before="120" w:after="120" w:line="276" w:lineRule="auto"/>
        <w:ind w:firstLine="488"/>
        <w:jc w:val="both"/>
        <w:rPr>
          <w:rFonts w:cs="Arial"/>
          <w:bCs/>
          <w:color w:val="000000"/>
          <w:szCs w:val="20"/>
        </w:rPr>
      </w:pPr>
      <w:r w:rsidRPr="00A646BF">
        <w:rPr>
          <w:rFonts w:cs="Arial"/>
          <w:bCs/>
          <w:color w:val="000000"/>
          <w:szCs w:val="20"/>
        </w:rPr>
        <w:t>A previsão para entrega de todos os itens é de 25% do quantitativo total a cada trimestre da vigência da ata.</w:t>
      </w:r>
      <w:r>
        <w:rPr>
          <w:rFonts w:cs="Arial"/>
          <w:bCs/>
          <w:color w:val="000000"/>
          <w:szCs w:val="20"/>
        </w:rPr>
        <w:t xml:space="preserve"> Trata-se de estimativa, e dependerá da necessidade real e da disponibilidade orçamentária do requisitante.</w:t>
      </w:r>
    </w:p>
    <w:p w:rsidR="001E14AF" w:rsidRDefault="001B04B2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O</w:t>
      </w:r>
      <w:r w:rsidR="001E14AF" w:rsidRPr="0000392B">
        <w:rPr>
          <w:rFonts w:cs="Arial"/>
          <w:bCs/>
          <w:color w:val="000000"/>
          <w:szCs w:val="20"/>
        </w:rPr>
        <w:t xml:space="preserve"> prazo de validade na data da entrega não poderá ser inferior a </w:t>
      </w:r>
      <w:r w:rsidRPr="001B04B2">
        <w:rPr>
          <w:rFonts w:cs="Arial"/>
          <w:bCs/>
          <w:szCs w:val="20"/>
        </w:rPr>
        <w:t>165</w:t>
      </w:r>
      <w:r w:rsidR="001E14AF" w:rsidRPr="001B04B2">
        <w:rPr>
          <w:rFonts w:cs="Arial"/>
          <w:bCs/>
          <w:szCs w:val="20"/>
        </w:rPr>
        <w:t xml:space="preserve"> (</w:t>
      </w:r>
      <w:r w:rsidRPr="001B04B2">
        <w:rPr>
          <w:rFonts w:cs="Arial"/>
          <w:bCs/>
          <w:szCs w:val="20"/>
        </w:rPr>
        <w:t>cento e sessenta e cinco</w:t>
      </w:r>
      <w:r w:rsidR="001E14AF" w:rsidRPr="001B04B2">
        <w:rPr>
          <w:rFonts w:cs="Arial"/>
          <w:bCs/>
          <w:szCs w:val="20"/>
        </w:rPr>
        <w:t>)</w:t>
      </w:r>
      <w:r w:rsidRPr="001B04B2">
        <w:rPr>
          <w:rFonts w:cs="Arial"/>
          <w:bCs/>
          <w:szCs w:val="20"/>
        </w:rPr>
        <w:t xml:space="preserve"> </w:t>
      </w:r>
      <w:r w:rsidR="001E14AF" w:rsidRPr="001B04B2">
        <w:rPr>
          <w:rFonts w:cs="Arial"/>
          <w:bCs/>
          <w:szCs w:val="20"/>
        </w:rPr>
        <w:t>d</w:t>
      </w:r>
      <w:r w:rsidR="001E14AF" w:rsidRPr="0000392B">
        <w:rPr>
          <w:rFonts w:cs="Arial"/>
          <w:bCs/>
          <w:color w:val="000000"/>
          <w:szCs w:val="20"/>
        </w:rPr>
        <w:t xml:space="preserve">ias ou a </w:t>
      </w:r>
      <w:r>
        <w:rPr>
          <w:rFonts w:cs="Arial"/>
          <w:bCs/>
          <w:color w:val="000000"/>
          <w:szCs w:val="20"/>
        </w:rPr>
        <w:t xml:space="preserve">5/6 </w:t>
      </w:r>
      <w:r w:rsidR="001E14AF" w:rsidRPr="0000392B">
        <w:rPr>
          <w:rFonts w:cs="Arial"/>
          <w:bCs/>
          <w:color w:val="000000"/>
          <w:szCs w:val="20"/>
        </w:rPr>
        <w:t>do prazo total recomendado pelo fabricante</w:t>
      </w:r>
      <w:r>
        <w:rPr>
          <w:rFonts w:cs="Arial"/>
          <w:bCs/>
          <w:color w:val="000000"/>
          <w:szCs w:val="20"/>
        </w:rPr>
        <w:t>, contados da data do recebimento definitivo do material</w:t>
      </w:r>
      <w:r w:rsidR="001E14AF" w:rsidRPr="0000392B">
        <w:rPr>
          <w:rFonts w:cs="Arial"/>
          <w:bCs/>
          <w:color w:val="000000"/>
          <w:szCs w:val="20"/>
        </w:rPr>
        <w:t>.</w:t>
      </w:r>
    </w:p>
    <w:p w:rsidR="001B04B2" w:rsidRDefault="001B04B2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Os materiais deverão ser acondicionados em embalagens individuais, impermeáveis, intactas e </w:t>
      </w:r>
      <w:proofErr w:type="spellStart"/>
      <w:r>
        <w:rPr>
          <w:rFonts w:cs="Arial"/>
          <w:bCs/>
          <w:color w:val="000000"/>
          <w:szCs w:val="20"/>
        </w:rPr>
        <w:t>autoclaváveis</w:t>
      </w:r>
      <w:proofErr w:type="spellEnd"/>
      <w:r>
        <w:rPr>
          <w:rFonts w:cs="Arial"/>
          <w:bCs/>
          <w:color w:val="000000"/>
          <w:szCs w:val="20"/>
        </w:rPr>
        <w:t>, conforme descrito no item 1.1.</w:t>
      </w:r>
    </w:p>
    <w:p w:rsidR="00ED73A8" w:rsidRPr="0000392B" w:rsidRDefault="00ED73A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A carga deverá ser transportada em caminhão do tipo baú, que impossibilite a ação do sol e da chuva, bem como deve ser </w:t>
      </w:r>
      <w:proofErr w:type="gramStart"/>
      <w:r>
        <w:rPr>
          <w:rFonts w:cs="Arial"/>
          <w:bCs/>
          <w:color w:val="000000"/>
          <w:szCs w:val="20"/>
        </w:rPr>
        <w:t xml:space="preserve">transportada em </w:t>
      </w:r>
      <w:proofErr w:type="spellStart"/>
      <w:r>
        <w:rPr>
          <w:rFonts w:cs="Arial"/>
          <w:bCs/>
          <w:color w:val="000000"/>
          <w:szCs w:val="20"/>
        </w:rPr>
        <w:t>paletes</w:t>
      </w:r>
      <w:proofErr w:type="spellEnd"/>
      <w:r>
        <w:rPr>
          <w:rFonts w:cs="Arial"/>
          <w:bCs/>
          <w:color w:val="000000"/>
          <w:szCs w:val="20"/>
        </w:rPr>
        <w:t xml:space="preserve"> e separadas de outros materiais que possam contaminá-la ou facilitar sua deterioração</w:t>
      </w:r>
      <w:proofErr w:type="gramEnd"/>
      <w:r>
        <w:rPr>
          <w:rFonts w:cs="Arial"/>
          <w:bCs/>
          <w:color w:val="000000"/>
          <w:szCs w:val="20"/>
        </w:rPr>
        <w:t>. Os entregadores deverão possuir identificação.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lastRenderedPageBreak/>
        <w:t xml:space="preserve">Os bens serão recebidos provisoriamente no prazo de </w:t>
      </w:r>
      <w:r w:rsidR="001B04B2">
        <w:rPr>
          <w:rFonts w:cs="Arial"/>
          <w:color w:val="000000"/>
          <w:szCs w:val="20"/>
        </w:rPr>
        <w:t xml:space="preserve">15 </w:t>
      </w:r>
      <w:r w:rsidR="001B04B2" w:rsidRPr="006A0037">
        <w:rPr>
          <w:rFonts w:cs="Arial"/>
          <w:color w:val="000000"/>
          <w:szCs w:val="20"/>
        </w:rPr>
        <w:t>(</w:t>
      </w:r>
      <w:r w:rsidR="001B04B2">
        <w:rPr>
          <w:rFonts w:cs="Arial"/>
          <w:color w:val="000000"/>
          <w:szCs w:val="20"/>
        </w:rPr>
        <w:t>quinze</w:t>
      </w:r>
      <w:r w:rsidR="001B04B2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color w:val="000000"/>
          <w:szCs w:val="20"/>
        </w:rPr>
        <w:t xml:space="preserve">, </w:t>
      </w:r>
      <w:proofErr w:type="gramStart"/>
      <w:r w:rsidRPr="0000392B">
        <w:rPr>
          <w:rFonts w:cs="Arial"/>
          <w:color w:val="000000"/>
          <w:szCs w:val="20"/>
        </w:rPr>
        <w:t>pelo(</w:t>
      </w:r>
      <w:proofErr w:type="gramEnd"/>
      <w:r w:rsidRPr="0000392B">
        <w:rPr>
          <w:rFonts w:cs="Arial"/>
          <w:color w:val="000000"/>
          <w:szCs w:val="20"/>
        </w:rPr>
        <w:t xml:space="preserve">a) </w:t>
      </w:r>
      <w:r w:rsidRPr="0000392B">
        <w:rPr>
          <w:rFonts w:cs="Arial"/>
          <w:iCs/>
          <w:color w:val="000000"/>
          <w:szCs w:val="20"/>
        </w:rPr>
        <w:t>responsável</w:t>
      </w:r>
      <w:r w:rsidRPr="0000392B">
        <w:rPr>
          <w:rFonts w:cs="Arial"/>
          <w:color w:val="000000"/>
          <w:szCs w:val="20"/>
        </w:rPr>
        <w:t xml:space="preserve"> pelo acompanhamento e fiscalização do contrato, para efeito de posterior verificação de sua conformidade com as especificações constantes neste </w:t>
      </w:r>
      <w:r w:rsidR="008C1AF7" w:rsidRPr="0000392B">
        <w:rPr>
          <w:rFonts w:cs="Arial"/>
          <w:color w:val="000000"/>
          <w:szCs w:val="20"/>
        </w:rPr>
        <w:t>Termo de R</w:t>
      </w:r>
      <w:r w:rsidRPr="0000392B">
        <w:rPr>
          <w:rFonts w:cs="Arial"/>
          <w:color w:val="000000"/>
          <w:szCs w:val="20"/>
        </w:rPr>
        <w:t xml:space="preserve">eferência e na proposta. </w:t>
      </w:r>
    </w:p>
    <w:p w:rsidR="001E14AF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bCs/>
          <w:color w:val="00000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1B04B2">
        <w:rPr>
          <w:rFonts w:cs="Arial"/>
          <w:color w:val="000000"/>
          <w:szCs w:val="20"/>
        </w:rPr>
        <w:t xml:space="preserve">15 </w:t>
      </w:r>
      <w:r w:rsidR="001B04B2" w:rsidRPr="006A0037">
        <w:rPr>
          <w:rFonts w:cs="Arial"/>
          <w:color w:val="000000"/>
          <w:szCs w:val="20"/>
        </w:rPr>
        <w:t>(</w:t>
      </w:r>
      <w:r w:rsidR="001B04B2">
        <w:rPr>
          <w:rFonts w:cs="Arial"/>
          <w:color w:val="000000"/>
          <w:szCs w:val="20"/>
        </w:rPr>
        <w:t>quinze</w:t>
      </w:r>
      <w:r w:rsidR="001B04B2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bCs/>
          <w:color w:val="000000"/>
          <w:szCs w:val="20"/>
        </w:rPr>
        <w:t>, a contar da notificação da contratada, às suas custas, sem prejuízo da aplicação das penalidades.</w:t>
      </w:r>
    </w:p>
    <w:p w:rsidR="003D69A5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 xml:space="preserve">Os bens serão recebidos definitivamente no prazo de </w:t>
      </w:r>
      <w:r w:rsidR="001B04B2">
        <w:rPr>
          <w:rFonts w:cs="Arial"/>
          <w:color w:val="000000"/>
          <w:szCs w:val="20"/>
        </w:rPr>
        <w:t xml:space="preserve">15 </w:t>
      </w:r>
      <w:r w:rsidR="001B04B2" w:rsidRPr="006A0037">
        <w:rPr>
          <w:rFonts w:cs="Arial"/>
          <w:color w:val="000000"/>
          <w:szCs w:val="20"/>
        </w:rPr>
        <w:t>(</w:t>
      </w:r>
      <w:r w:rsidR="001B04B2">
        <w:rPr>
          <w:rFonts w:cs="Arial"/>
          <w:color w:val="000000"/>
          <w:szCs w:val="20"/>
        </w:rPr>
        <w:t>quinze</w:t>
      </w:r>
      <w:r w:rsidR="001B04B2" w:rsidRPr="006A0037">
        <w:rPr>
          <w:rFonts w:cs="Arial"/>
          <w:color w:val="000000"/>
          <w:szCs w:val="20"/>
        </w:rPr>
        <w:t>) dias</w:t>
      </w:r>
      <w:r w:rsidRPr="0000392B">
        <w:rPr>
          <w:rFonts w:cs="Arial"/>
          <w:color w:val="000000"/>
          <w:szCs w:val="20"/>
        </w:rPr>
        <w:t>, contados do recebimento provisório, após a verificação da qualidade e quantidade do material e consequente aceitação mediante termo circunstanciado.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:rsidR="001E14AF" w:rsidRPr="0000392B" w:rsidRDefault="001E14AF" w:rsidP="00DE7070">
      <w:pPr>
        <w:pStyle w:val="Nivel1"/>
      </w:pPr>
      <w:r w:rsidRPr="0000392B">
        <w:rPr>
          <w:lang w:eastAsia="en-US"/>
        </w:rPr>
        <w:t>OBRIGAÇÕES DA CONTRATANTE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São obrigações da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receber</w:t>
      </w:r>
      <w:proofErr w:type="gramEnd"/>
      <w:r w:rsidRPr="0000392B">
        <w:rPr>
          <w:rFonts w:cs="Arial"/>
          <w:szCs w:val="20"/>
        </w:rPr>
        <w:t xml:space="preserve"> o objeto no prazo e condições estabelecidas no Edital e seus anexos;</w:t>
      </w:r>
    </w:p>
    <w:p w:rsidR="001E14AF" w:rsidRPr="0000392B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v</w:t>
      </w:r>
      <w:r w:rsidR="001E14AF" w:rsidRPr="0000392B">
        <w:rPr>
          <w:rFonts w:cs="Arial"/>
          <w:szCs w:val="20"/>
          <w:lang w:eastAsia="en-US"/>
        </w:rPr>
        <w:t>erificar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</w:t>
      </w:r>
      <w:r w:rsidR="006D3F97" w:rsidRPr="0000392B">
        <w:rPr>
          <w:rFonts w:cs="Arial"/>
          <w:szCs w:val="20"/>
        </w:rPr>
        <w:t>Contratada</w:t>
      </w:r>
      <w:r w:rsidRPr="0000392B">
        <w:rPr>
          <w:rFonts w:cs="Arial"/>
          <w:szCs w:val="20"/>
        </w:rPr>
        <w:t>, por escrito, sobre imperfeições, falhas ou irregularidades verificadas no objeto fornecido, para que seja substituído, reparado ou corrigido;</w:t>
      </w:r>
    </w:p>
    <w:p w:rsidR="001E14AF" w:rsidRPr="0000392B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  <w:lang w:eastAsia="en-US"/>
        </w:rPr>
        <w:t>a</w:t>
      </w:r>
      <w:r w:rsidR="001E14AF" w:rsidRPr="0000392B">
        <w:rPr>
          <w:rFonts w:cs="Arial"/>
          <w:szCs w:val="20"/>
          <w:lang w:eastAsia="en-US"/>
        </w:rPr>
        <w:t>companhar</w:t>
      </w:r>
      <w:proofErr w:type="gramEnd"/>
      <w:r w:rsidR="001E14AF" w:rsidRPr="0000392B">
        <w:rPr>
          <w:rFonts w:cs="Arial"/>
          <w:szCs w:val="20"/>
          <w:lang w:eastAsia="en-US"/>
        </w:rPr>
        <w:t xml:space="preserve"> e fiscalizar o cumprimento das obrigações da Contratada, através de </w:t>
      </w:r>
      <w:r w:rsidRPr="0000392B">
        <w:rPr>
          <w:rFonts w:cs="Arial"/>
          <w:szCs w:val="20"/>
          <w:lang w:eastAsia="en-US"/>
        </w:rPr>
        <w:t>comissão/</w:t>
      </w:r>
      <w:r w:rsidR="001E14AF" w:rsidRPr="0000392B">
        <w:rPr>
          <w:rFonts w:cs="Arial"/>
          <w:szCs w:val="20"/>
          <w:lang w:eastAsia="en-US"/>
        </w:rPr>
        <w:t>servidor especialmente designado;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o pagamento à C</w:t>
      </w:r>
      <w:r w:rsidR="006D3F97" w:rsidRPr="0000392B">
        <w:rPr>
          <w:rFonts w:cs="Arial"/>
          <w:szCs w:val="20"/>
        </w:rPr>
        <w:t>ontratada</w:t>
      </w:r>
      <w:r w:rsidRPr="0000392B">
        <w:rPr>
          <w:rFonts w:cs="Arial"/>
          <w:b/>
          <w:szCs w:val="20"/>
        </w:rPr>
        <w:t xml:space="preserve"> </w:t>
      </w:r>
      <w:r w:rsidRPr="0000392B">
        <w:rPr>
          <w:rFonts w:cs="Arial"/>
          <w:szCs w:val="20"/>
        </w:rPr>
        <w:t>no valor correspondente ao fornecimento do objeto, no prazo e forma estabelecidos n</w:t>
      </w:r>
      <w:r w:rsidR="006D3F97" w:rsidRPr="0000392B">
        <w:rPr>
          <w:rFonts w:cs="Arial"/>
          <w:szCs w:val="20"/>
        </w:rPr>
        <w:t>o</w:t>
      </w:r>
      <w:r w:rsidRPr="0000392B">
        <w:rPr>
          <w:rFonts w:cs="Arial"/>
          <w:szCs w:val="20"/>
        </w:rPr>
        <w:t xml:space="preserve"> </w:t>
      </w:r>
      <w:r w:rsidR="006D3F97" w:rsidRPr="0000392B">
        <w:rPr>
          <w:rFonts w:cs="Arial"/>
          <w:szCs w:val="20"/>
        </w:rPr>
        <w:t>Edital e seus anexos;</w:t>
      </w:r>
    </w:p>
    <w:p w:rsidR="001E14AF" w:rsidRPr="0000392B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 xml:space="preserve">A Administração </w:t>
      </w:r>
      <w:r w:rsidR="001E14AF" w:rsidRPr="0000392B">
        <w:rPr>
          <w:rFonts w:cs="Arial"/>
          <w:szCs w:val="20"/>
        </w:rPr>
        <w:t>não responderá por quaisquer compromissos assumidos pela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00392B">
        <w:rPr>
          <w:rFonts w:cs="Arial"/>
          <w:szCs w:val="20"/>
        </w:rPr>
        <w:t>ontratada</w:t>
      </w:r>
      <w:r w:rsidR="001E14AF" w:rsidRPr="0000392B">
        <w:rPr>
          <w:rFonts w:cs="Arial"/>
          <w:szCs w:val="20"/>
        </w:rPr>
        <w:t>, de seus empregados, prepostos ou subordinados.</w:t>
      </w:r>
    </w:p>
    <w:p w:rsidR="001E14AF" w:rsidRPr="0000392B" w:rsidRDefault="001E14AF" w:rsidP="00DE7070">
      <w:pPr>
        <w:pStyle w:val="Nivel1"/>
      </w:pPr>
      <w:r w:rsidRPr="0000392B">
        <w:t>OBRIGAÇÕES DA CONTRATADA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/>
          <w:color w:val="000000"/>
          <w:szCs w:val="20"/>
        </w:rPr>
      </w:pPr>
      <w:r w:rsidRPr="0000392B">
        <w:rPr>
          <w:rFonts w:cs="Arial"/>
          <w:szCs w:val="20"/>
        </w:rPr>
        <w:t>A C</w:t>
      </w:r>
      <w:r w:rsidR="00812ACB" w:rsidRPr="0000392B">
        <w:rPr>
          <w:rFonts w:cs="Arial"/>
          <w:szCs w:val="20"/>
        </w:rPr>
        <w:t xml:space="preserve">ontratada </w:t>
      </w:r>
      <w:r w:rsidRPr="0000392B">
        <w:rPr>
          <w:rFonts w:cs="Arial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color w:val="000000"/>
          <w:szCs w:val="20"/>
        </w:rPr>
      </w:pPr>
      <w:proofErr w:type="gramStart"/>
      <w:r w:rsidRPr="0000392B">
        <w:rPr>
          <w:rFonts w:cs="Arial"/>
          <w:szCs w:val="20"/>
        </w:rPr>
        <w:t>efetuar</w:t>
      </w:r>
      <w:proofErr w:type="gramEnd"/>
      <w:r w:rsidRPr="0000392B">
        <w:rPr>
          <w:rFonts w:cs="Arial"/>
          <w:szCs w:val="20"/>
        </w:rPr>
        <w:t xml:space="preserve"> a entrega do objeto em perfeitas condições, conforme especificações, prazo e local constantes no </w:t>
      </w:r>
      <w:r w:rsidR="008010EF" w:rsidRPr="002C7035">
        <w:rPr>
          <w:rFonts w:cs="Arial"/>
          <w:szCs w:val="20"/>
        </w:rPr>
        <w:t>Termo de Referência</w:t>
      </w:r>
      <w:r w:rsidR="002C7035">
        <w:rPr>
          <w:rFonts w:cs="Arial"/>
          <w:szCs w:val="20"/>
        </w:rPr>
        <w:t xml:space="preserve"> </w:t>
      </w:r>
      <w:r w:rsidRPr="0000392B">
        <w:rPr>
          <w:rFonts w:cs="Arial"/>
          <w:szCs w:val="20"/>
        </w:rPr>
        <w:t>e seus anexos, acompanhado da respectiva nota fiscal, na qual constarão as indicações referente</w:t>
      </w:r>
      <w:r w:rsidRPr="00B93B25">
        <w:rPr>
          <w:rFonts w:cs="Arial"/>
          <w:szCs w:val="20"/>
        </w:rPr>
        <w:t>s a: marca, fabricante, procedência e prazo de validade;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responsabilizar</w:t>
      </w:r>
      <w:proofErr w:type="gramEnd"/>
      <w:r w:rsidRPr="0000392B">
        <w:rPr>
          <w:rFonts w:cs="Arial"/>
          <w:szCs w:val="20"/>
        </w:rPr>
        <w:t>-se pelos vícios e danos decorrentes do objeto, de acordo com os artigos 12, 13</w:t>
      </w:r>
      <w:r w:rsidR="006E0448" w:rsidRPr="0000392B">
        <w:rPr>
          <w:rFonts w:cs="Arial"/>
          <w:szCs w:val="20"/>
        </w:rPr>
        <w:t xml:space="preserve"> e</w:t>
      </w:r>
      <w:r w:rsidRPr="0000392B">
        <w:rPr>
          <w:rFonts w:cs="Arial"/>
          <w:szCs w:val="20"/>
        </w:rPr>
        <w:t xml:space="preserve"> 1</w:t>
      </w:r>
      <w:r w:rsidR="006E0448" w:rsidRPr="0000392B">
        <w:rPr>
          <w:rFonts w:cs="Arial"/>
          <w:szCs w:val="20"/>
        </w:rPr>
        <w:t>7</w:t>
      </w:r>
      <w:r w:rsidRPr="0000392B">
        <w:rPr>
          <w:rFonts w:cs="Arial"/>
          <w:szCs w:val="20"/>
        </w:rPr>
        <w:t xml:space="preserve"> a 27, do Código de Defesa do Consumidor (Lei nº 8.078, de 1990);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lastRenderedPageBreak/>
        <w:t>substituir</w:t>
      </w:r>
      <w:proofErr w:type="gramEnd"/>
      <w:r w:rsidRPr="0000392B">
        <w:rPr>
          <w:rFonts w:cs="Arial"/>
          <w:szCs w:val="20"/>
        </w:rPr>
        <w:t>, reparar ou corrigir, às suas expensas, no prazo fixado neste Termo de Referência, o objeto com avarias ou defeitos;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comunicar</w:t>
      </w:r>
      <w:proofErr w:type="gramEnd"/>
      <w:r w:rsidRPr="0000392B">
        <w:rPr>
          <w:rFonts w:cs="Arial"/>
          <w:szCs w:val="20"/>
        </w:rPr>
        <w:t xml:space="preserve"> à C</w:t>
      </w:r>
      <w:r w:rsidR="00812ACB" w:rsidRPr="0000392B">
        <w:rPr>
          <w:rFonts w:cs="Arial"/>
          <w:szCs w:val="20"/>
        </w:rPr>
        <w:t>ontratante</w:t>
      </w:r>
      <w:r w:rsidRPr="0000392B">
        <w:rPr>
          <w:rFonts w:cs="Arial"/>
          <w:szCs w:val="20"/>
        </w:rPr>
        <w:t>, no prazo máximo de 24 (vinte e quatro) horas que antecede a data da entrega, os motivos que impossibilitem o cumprimento do prazo previsto, com a devida comprovação;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manter</w:t>
      </w:r>
      <w:proofErr w:type="gramEnd"/>
      <w:r w:rsidRPr="0000392B">
        <w:rPr>
          <w:rFonts w:cs="Arial"/>
          <w:szCs w:val="20"/>
        </w:rPr>
        <w:t>, durante toda a execução do contrato, em compatibilidade com as obrigações assumidas, todas as condições de habilitação e qualificação exigidas na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indicar</w:t>
      </w:r>
      <w:proofErr w:type="gramEnd"/>
      <w:r w:rsidRPr="0000392B">
        <w:rPr>
          <w:rFonts w:cs="Arial"/>
          <w:szCs w:val="20"/>
        </w:rPr>
        <w:t xml:space="preserve"> preposto para representá-la durante a execução do contrato.</w:t>
      </w:r>
    </w:p>
    <w:p w:rsidR="001E14AF" w:rsidRPr="0000392B" w:rsidRDefault="001E14AF" w:rsidP="00DE7070">
      <w:pPr>
        <w:pStyle w:val="Nivel1"/>
      </w:pPr>
      <w:r w:rsidRPr="0000392B">
        <w:t>DA SUBCONTRATAÇÃO</w:t>
      </w:r>
    </w:p>
    <w:p w:rsidR="001E14AF" w:rsidRPr="00B93B25" w:rsidRDefault="00732294" w:rsidP="0029415B">
      <w:p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B93B25">
        <w:rPr>
          <w:rFonts w:cs="Arial"/>
          <w:szCs w:val="20"/>
        </w:rPr>
        <w:t xml:space="preserve">7.1 </w:t>
      </w:r>
      <w:r w:rsidR="001E14AF" w:rsidRPr="00B93B25">
        <w:rPr>
          <w:rFonts w:cs="Arial"/>
          <w:szCs w:val="20"/>
        </w:rPr>
        <w:t xml:space="preserve">Não </w:t>
      </w:r>
      <w:proofErr w:type="gramStart"/>
      <w:r w:rsidR="001E14AF" w:rsidRPr="00B93B25">
        <w:rPr>
          <w:rFonts w:cs="Arial"/>
          <w:szCs w:val="20"/>
        </w:rPr>
        <w:t>será</w:t>
      </w:r>
      <w:proofErr w:type="gramEnd"/>
      <w:r w:rsidR="001E14AF" w:rsidRPr="00B93B25">
        <w:rPr>
          <w:rFonts w:cs="Arial"/>
          <w:szCs w:val="20"/>
        </w:rPr>
        <w:t xml:space="preserve"> admitida a subcontratação do objeto licitatório.</w:t>
      </w:r>
    </w:p>
    <w:p w:rsidR="00274E7D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DA </w:t>
      </w:r>
      <w:r w:rsidR="00503208" w:rsidRPr="0000392B">
        <w:rPr>
          <w:lang w:eastAsia="en-US"/>
        </w:rPr>
        <w:t>ALTERAÇÃO SUBJETIVA</w:t>
      </w:r>
    </w:p>
    <w:p w:rsidR="00EF7D88" w:rsidRPr="0000392B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FF"/>
          <w:szCs w:val="20"/>
          <w:lang w:eastAsia="en-US"/>
        </w:rPr>
      </w:pPr>
      <w:r w:rsidRPr="0000392B">
        <w:rPr>
          <w:rFonts w:cs="Arial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00392B">
        <w:rPr>
          <w:rFonts w:cs="Arial"/>
          <w:szCs w:val="20"/>
          <w:lang w:eastAsia="en-US"/>
        </w:rPr>
        <w:t>o</w:t>
      </w:r>
      <w:r w:rsidRPr="0000392B">
        <w:rPr>
          <w:rFonts w:cs="Arial"/>
          <w:szCs w:val="20"/>
          <w:lang w:eastAsia="en-US"/>
        </w:rPr>
        <w:t xml:space="preserve"> à continuidade do contrato.</w:t>
      </w:r>
    </w:p>
    <w:p w:rsidR="001E14AF" w:rsidRPr="0000392B" w:rsidRDefault="00CA02C8" w:rsidP="00DE7070">
      <w:pPr>
        <w:pStyle w:val="Nivel1"/>
        <w:rPr>
          <w:lang w:eastAsia="en-US"/>
        </w:rPr>
      </w:pPr>
      <w:r>
        <w:rPr>
          <w:lang w:eastAsia="en-US"/>
        </w:rPr>
        <w:t xml:space="preserve">DO </w:t>
      </w:r>
      <w:r w:rsidR="001E14AF" w:rsidRPr="0000392B">
        <w:rPr>
          <w:lang w:eastAsia="en-US"/>
        </w:rPr>
        <w:t xml:space="preserve">CONTROLE </w:t>
      </w:r>
      <w:r w:rsidR="00834300" w:rsidRPr="002C7035">
        <w:rPr>
          <w:color w:val="auto"/>
          <w:lang w:eastAsia="en-US"/>
        </w:rPr>
        <w:t>E FISCALIZAÇÃO DA</w:t>
      </w:r>
      <w:r w:rsidR="001E14AF" w:rsidRPr="002C7035">
        <w:rPr>
          <w:color w:val="auto"/>
          <w:lang w:eastAsia="en-US"/>
        </w:rPr>
        <w:t xml:space="preserve"> </w:t>
      </w:r>
      <w:r w:rsidR="001E14AF" w:rsidRPr="0000392B">
        <w:rPr>
          <w:lang w:eastAsia="en-US"/>
        </w:rPr>
        <w:t>EXECUÇÃO</w:t>
      </w:r>
    </w:p>
    <w:p w:rsidR="009A1099" w:rsidRPr="0000392B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9A1099" w:rsidRPr="002C7035" w:rsidRDefault="009A1099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Cs/>
          <w:color w:val="000000"/>
          <w:szCs w:val="20"/>
        </w:rPr>
      </w:pPr>
      <w:r w:rsidRPr="0000392B">
        <w:rPr>
          <w:rFonts w:cs="Arial"/>
          <w:color w:val="000000"/>
          <w:szCs w:val="20"/>
          <w:lang w:eastAsia="en-US"/>
        </w:rPr>
        <w:t xml:space="preserve">O recebimento de material de </w:t>
      </w:r>
      <w:r w:rsidRPr="002C7035">
        <w:rPr>
          <w:rFonts w:cs="Arial"/>
          <w:color w:val="000000"/>
          <w:szCs w:val="20"/>
          <w:lang w:eastAsia="en-US"/>
        </w:rPr>
        <w:t xml:space="preserve">valor superior a R$ </w:t>
      </w:r>
      <w:r w:rsidR="008010EF" w:rsidRPr="002C7035">
        <w:rPr>
          <w:rFonts w:cs="Arial"/>
          <w:color w:val="000000"/>
          <w:szCs w:val="20"/>
          <w:lang w:eastAsia="en-US"/>
        </w:rPr>
        <w:t>176.000,00</w:t>
      </w:r>
      <w:r w:rsidRPr="002C7035">
        <w:rPr>
          <w:rFonts w:cs="Arial"/>
          <w:color w:val="000000"/>
          <w:szCs w:val="20"/>
          <w:lang w:eastAsia="en-US"/>
        </w:rPr>
        <w:t xml:space="preserve"> (</w:t>
      </w:r>
      <w:r w:rsidR="008010EF" w:rsidRPr="002C7035">
        <w:rPr>
          <w:rFonts w:cs="Arial"/>
          <w:color w:val="000000"/>
          <w:szCs w:val="20"/>
          <w:lang w:eastAsia="en-US"/>
        </w:rPr>
        <w:t>cento e setenta e seis</w:t>
      </w:r>
      <w:r w:rsidRPr="002C7035">
        <w:rPr>
          <w:rFonts w:cs="Arial"/>
          <w:color w:val="000000"/>
          <w:szCs w:val="20"/>
          <w:lang w:eastAsia="en-US"/>
        </w:rPr>
        <w:t xml:space="preserve"> mil reais) será confiado a uma comissão de, no mínimo, 3 (três) membros, designados pela autoridade competente.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  <w:lang w:eastAsia="en-US"/>
        </w:rPr>
      </w:pPr>
      <w:r w:rsidRPr="002C7035">
        <w:rPr>
          <w:rFonts w:cs="Arial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2C7035">
        <w:rPr>
          <w:rFonts w:cs="Arial"/>
          <w:color w:val="000000"/>
          <w:szCs w:val="20"/>
          <w:lang w:eastAsia="en-US"/>
        </w:rPr>
        <w:t>Contratada</w:t>
      </w:r>
      <w:r w:rsidRPr="002C7035">
        <w:rPr>
          <w:rFonts w:cs="Arial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 ou vícios redibitórios, </w:t>
      </w:r>
      <w:r w:rsidRPr="002C7035">
        <w:rPr>
          <w:rFonts w:cs="Arial"/>
          <w:color w:val="000000"/>
          <w:szCs w:val="20"/>
          <w:lang w:eastAsia="en-US"/>
        </w:rPr>
        <w:t xml:space="preserve">e, na ocorrência desta, não implica em </w:t>
      </w:r>
      <w:r w:rsidR="001A425B" w:rsidRPr="002C7035">
        <w:rPr>
          <w:rFonts w:cs="Arial"/>
          <w:color w:val="000000"/>
          <w:szCs w:val="20"/>
          <w:lang w:eastAsia="en-US"/>
        </w:rPr>
        <w:t>corresponsabilidade</w:t>
      </w:r>
      <w:r w:rsidRPr="002C7035">
        <w:rPr>
          <w:rFonts w:cs="Arial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  <w:lang w:eastAsia="en-US"/>
        </w:rPr>
        <w:t xml:space="preserve">O </w:t>
      </w:r>
      <w:r w:rsidR="009A1099" w:rsidRPr="002C7035">
        <w:rPr>
          <w:rFonts w:cs="Arial"/>
          <w:color w:val="000000"/>
          <w:szCs w:val="20"/>
          <w:lang w:eastAsia="en-US"/>
        </w:rPr>
        <w:t xml:space="preserve">representante da Administração </w:t>
      </w:r>
      <w:r w:rsidRPr="002C7035">
        <w:rPr>
          <w:rFonts w:cs="Arial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2C7035">
        <w:rPr>
          <w:rFonts w:cs="Arial"/>
          <w:color w:val="000000"/>
          <w:szCs w:val="20"/>
          <w:lang w:eastAsia="en-US"/>
        </w:rPr>
        <w:t>larização das falhas</w:t>
      </w:r>
      <w:r w:rsidRPr="002C7035">
        <w:rPr>
          <w:rFonts w:cs="Arial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:rsidR="002E3CAE" w:rsidRPr="002C7035" w:rsidRDefault="00CA02C8" w:rsidP="002E3CAE">
      <w:pPr>
        <w:pStyle w:val="Nivel1"/>
      </w:pPr>
      <w:r>
        <w:t xml:space="preserve">DO </w:t>
      </w:r>
      <w:r w:rsidR="002E3CAE" w:rsidRPr="002C7035">
        <w:t>PAGAMENTO</w:t>
      </w:r>
    </w:p>
    <w:p w:rsidR="002E3CAE" w:rsidRDefault="002E3CAE" w:rsidP="002E3CAE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2E3CAE">
        <w:rPr>
          <w:rFonts w:cs="Arial"/>
          <w:color w:val="000000"/>
          <w:szCs w:val="20"/>
          <w:lang w:eastAsia="en-US"/>
        </w:rPr>
        <w:t xml:space="preserve">O pagamento será realizado no prazo máximo de até </w:t>
      </w:r>
      <w:r w:rsidR="00AD51DB" w:rsidRPr="00AD51DB">
        <w:rPr>
          <w:rFonts w:cs="Arial"/>
          <w:szCs w:val="20"/>
          <w:lang w:eastAsia="en-US"/>
        </w:rPr>
        <w:t>30</w:t>
      </w:r>
      <w:r w:rsidRPr="00AD51DB">
        <w:rPr>
          <w:rFonts w:cs="Arial"/>
          <w:szCs w:val="20"/>
          <w:lang w:eastAsia="en-US"/>
        </w:rPr>
        <w:t xml:space="preserve"> (</w:t>
      </w:r>
      <w:r w:rsidR="00AD51DB" w:rsidRPr="00AD51DB">
        <w:rPr>
          <w:rFonts w:cs="Arial"/>
          <w:szCs w:val="20"/>
          <w:lang w:eastAsia="en-US"/>
        </w:rPr>
        <w:t>trinta</w:t>
      </w:r>
      <w:r w:rsidRPr="00AD51DB">
        <w:rPr>
          <w:rFonts w:cs="Arial"/>
          <w:szCs w:val="20"/>
          <w:lang w:eastAsia="en-US"/>
        </w:rPr>
        <w:t>)</w:t>
      </w:r>
      <w:r w:rsidR="00A14062">
        <w:rPr>
          <w:rFonts w:cs="Arial"/>
          <w:color w:val="FF0000"/>
          <w:szCs w:val="20"/>
          <w:lang w:eastAsia="en-US"/>
        </w:rPr>
        <w:t xml:space="preserve"> </w:t>
      </w:r>
      <w:r w:rsidRPr="002E3CAE">
        <w:rPr>
          <w:rFonts w:cs="Arial"/>
          <w:color w:val="000000"/>
          <w:szCs w:val="20"/>
          <w:lang w:eastAsia="en-US"/>
        </w:rPr>
        <w:t xml:space="preserve">dias, contados a partir </w:t>
      </w:r>
      <w:r w:rsidR="00A14062">
        <w:rPr>
          <w:rFonts w:cs="Arial"/>
          <w:color w:val="000000"/>
          <w:szCs w:val="20"/>
        </w:rPr>
        <w:t>do recebimento da Nota Fiscal ou Fatura</w:t>
      </w:r>
      <w:r w:rsidRPr="002E3CAE">
        <w:rPr>
          <w:rFonts w:cs="Arial"/>
          <w:color w:val="000000"/>
          <w:szCs w:val="20"/>
        </w:rPr>
        <w:t xml:space="preserve">, </w:t>
      </w:r>
      <w:r w:rsidRPr="002E3CAE">
        <w:rPr>
          <w:rFonts w:cs="Arial"/>
          <w:color w:val="000000"/>
          <w:szCs w:val="20"/>
          <w:lang w:eastAsia="en-US"/>
        </w:rPr>
        <w:t xml:space="preserve">através de ordem bancária, para crédito em banco, agência e conta </w:t>
      </w:r>
      <w:proofErr w:type="gramStart"/>
      <w:r w:rsidRPr="002E3CAE">
        <w:rPr>
          <w:rFonts w:cs="Arial"/>
          <w:color w:val="000000"/>
          <w:szCs w:val="20"/>
          <w:lang w:eastAsia="en-US"/>
        </w:rPr>
        <w:t>corrente indicados pelo contratado</w:t>
      </w:r>
      <w:proofErr w:type="gramEnd"/>
      <w:r w:rsidRPr="002E3CAE">
        <w:rPr>
          <w:rFonts w:cs="Arial"/>
          <w:color w:val="000000"/>
          <w:szCs w:val="20"/>
          <w:lang w:eastAsia="en-US"/>
        </w:rPr>
        <w:t>.</w:t>
      </w:r>
    </w:p>
    <w:p w:rsidR="000528E5" w:rsidRPr="00A14062" w:rsidRDefault="002E3CAE" w:rsidP="008A3788">
      <w:pPr>
        <w:pStyle w:val="PargrafodaLista"/>
        <w:numPr>
          <w:ilvl w:val="2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A14062">
        <w:rPr>
          <w:rFonts w:cs="Arial"/>
          <w:szCs w:val="20"/>
          <w:lang w:eastAsia="en-US"/>
        </w:rPr>
        <w:lastRenderedPageBreak/>
        <w:t xml:space="preserve">Os pagamentos decorrentes de despesas cujos valores não ultrapassem o limite </w:t>
      </w:r>
      <w:r w:rsidRPr="00A14062">
        <w:rPr>
          <w:rFonts w:cs="Arial"/>
          <w:szCs w:val="20"/>
        </w:rPr>
        <w:t>de que trata o inciso II do art. 24</w:t>
      </w:r>
      <w:r w:rsidRPr="00A14062">
        <w:rPr>
          <w:rFonts w:cs="Arial"/>
          <w:szCs w:val="20"/>
          <w:lang w:eastAsia="en-US"/>
        </w:rPr>
        <w:t xml:space="preserve"> da Lei 8.666, de 1993, deverão ser efetuados no prazo de até 5 (cinco) dias úteis, contados da data da apresentação da Nota Fiscal, nos termos do art. 5º, § 3º, da Lei nº 8.666, de 1993</w:t>
      </w:r>
      <w:r w:rsidRPr="00A14062">
        <w:rPr>
          <w:rFonts w:cs="Arial"/>
          <w:color w:val="000000"/>
          <w:szCs w:val="20"/>
          <w:lang w:eastAsia="en-US"/>
        </w:rPr>
        <w:t>.</w:t>
      </w:r>
    </w:p>
    <w:p w:rsidR="002E3CAE" w:rsidRPr="002E3CAE" w:rsidRDefault="00A14062" w:rsidP="00A14062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strike/>
          <w:color w:val="000000"/>
        </w:rPr>
      </w:pPr>
      <w:r w:rsidRPr="00A14062">
        <w:rPr>
          <w:rFonts w:cs="Arial"/>
          <w:color w:val="000000"/>
          <w:szCs w:val="20"/>
        </w:rPr>
        <w:t>Considera-se ocorrido o recebimento da nota fiscal ou fatura no momento em que o órgão contratante atestar a execução do objeto do contrato</w:t>
      </w:r>
      <w:r w:rsidR="002E3CAE" w:rsidRPr="00413DFC">
        <w:rPr>
          <w:rFonts w:cs="Arial"/>
          <w:color w:val="000000"/>
          <w:szCs w:val="20"/>
        </w:rPr>
        <w:t>.</w:t>
      </w:r>
    </w:p>
    <w:p w:rsidR="002E3CAE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A Nota Fiscal ou Fatura deverá ser obrigatoriamente acompanhada da comprovação da regularidade fiscal, constatada por meio de consulta on-line ao </w:t>
      </w:r>
      <w:r w:rsidR="00CA02C8">
        <w:rPr>
          <w:color w:val="000000"/>
        </w:rPr>
        <w:t>SICAF</w:t>
      </w:r>
      <w:r>
        <w:rPr>
          <w:color w:val="000000"/>
        </w:rPr>
        <w:t xml:space="preserve"> ou, na impossibilidade de acesso </w:t>
      </w:r>
      <w:r w:rsidRPr="00680050">
        <w:rPr>
          <w:rFonts w:cs="Arial"/>
          <w:color w:val="000000"/>
          <w:lang w:eastAsia="en-US"/>
        </w:rPr>
        <w:t>ao</w:t>
      </w:r>
      <w:r>
        <w:rPr>
          <w:color w:val="000000"/>
        </w:rPr>
        <w:t xml:space="preserve"> referido Sistema, mediante consulta aos sítios eletrônicos oficiais ou à documentação mencionada no art. 29 da Lei nº 8.666, de 1993. </w:t>
      </w:r>
    </w:p>
    <w:p w:rsidR="002E3CAE" w:rsidRPr="002C7035" w:rsidRDefault="002E3CAE" w:rsidP="000528E5">
      <w:pPr>
        <w:numPr>
          <w:ilvl w:val="2"/>
          <w:numId w:val="1"/>
        </w:numPr>
        <w:spacing w:before="120" w:after="120" w:line="276" w:lineRule="auto"/>
        <w:jc w:val="both"/>
        <w:rPr>
          <w:color w:val="000000"/>
        </w:rPr>
      </w:pPr>
      <w:r w:rsidRPr="002C7035">
        <w:rPr>
          <w:color w:val="000000"/>
        </w:rPr>
        <w:t xml:space="preserve">Constatando-se, junto ao </w:t>
      </w:r>
      <w:r w:rsidR="00CA02C8">
        <w:rPr>
          <w:color w:val="000000"/>
        </w:rPr>
        <w:t>SICAF</w:t>
      </w:r>
      <w:r w:rsidRPr="002C7035">
        <w:rPr>
          <w:color w:val="000000"/>
        </w:rPr>
        <w:t xml:space="preserve">, a situação de irregularidade do fornecedor contratado, deverão ser tomadas as providências previstas no do art. 31 da Instrução </w:t>
      </w:r>
      <w:r w:rsidRPr="002C7035">
        <w:rPr>
          <w:rFonts w:cs="Arial"/>
          <w:color w:val="000000"/>
          <w:lang w:eastAsia="en-US"/>
        </w:rPr>
        <w:t>Normativa</w:t>
      </w:r>
      <w:r w:rsidRPr="002C7035">
        <w:rPr>
          <w:color w:val="000000"/>
        </w:rPr>
        <w:t xml:space="preserve"> nº 3, de 26 de abril de 2018.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  <w:lang w:eastAsia="en-US"/>
        </w:rPr>
      </w:pPr>
      <w:r w:rsidRPr="00413DFC">
        <w:rPr>
          <w:rFonts w:cs="Arial"/>
          <w:color w:val="000000"/>
          <w:szCs w:val="20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413DFC">
        <w:rPr>
          <w:rFonts w:cs="Arial"/>
          <w:color w:val="000000"/>
          <w:szCs w:val="20"/>
        </w:rPr>
        <w:t>obrigação financeira pendente, decorrente de penalidade imposta ou inadimplência,</w:t>
      </w:r>
      <w:r w:rsidRPr="00413DFC">
        <w:rPr>
          <w:rFonts w:cs="Arial"/>
          <w:color w:val="000000"/>
          <w:szCs w:val="20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</w:t>
      </w:r>
      <w:r w:rsidRPr="002C7035">
        <w:rPr>
          <w:rFonts w:cs="Arial"/>
          <w:color w:val="000000"/>
          <w:szCs w:val="20"/>
          <w:lang w:eastAsia="en-US"/>
        </w:rPr>
        <w:t>acarretando qualquer ônus para 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>Será considerada data do pagamento o dia em que constar como emitida a ordem bancária para pagamento.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Antes de cada pagamento à contratada, será realizada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verificar a manutenção das condições de habilitação exigidas no edital.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Constatando-se,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>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Previamente à emissão de nota de empenho e a cada pagamento, a Administração deverá realizar consulta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2E3CAE" w:rsidRPr="002C7035" w:rsidRDefault="002E3CAE" w:rsidP="000528E5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  <w:lang w:eastAsia="en-US"/>
        </w:rPr>
      </w:pPr>
      <w:r w:rsidRPr="002C7035">
        <w:rPr>
          <w:rFonts w:cs="Arial"/>
          <w:szCs w:val="20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>
        <w:rPr>
          <w:rFonts w:cs="Arial"/>
          <w:szCs w:val="20"/>
          <w:lang w:eastAsia="en-US"/>
        </w:rPr>
        <w:t>SICAF</w:t>
      </w:r>
      <w:r w:rsidRPr="002C7035">
        <w:rPr>
          <w:rFonts w:cs="Arial"/>
          <w:szCs w:val="20"/>
          <w:lang w:eastAsia="en-US"/>
        </w:rPr>
        <w:t xml:space="preserve">.  </w:t>
      </w:r>
    </w:p>
    <w:p w:rsidR="002E3CAE" w:rsidRPr="002C7035" w:rsidRDefault="00E0366E" w:rsidP="00E0366E">
      <w:pPr>
        <w:pStyle w:val="PargrafodaLista"/>
        <w:spacing w:before="120" w:after="120" w:line="276" w:lineRule="auto"/>
        <w:ind w:left="716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  <w:lang w:eastAsia="en-US"/>
        </w:rPr>
        <w:t>10.11.1.</w:t>
      </w:r>
      <w:r w:rsidR="002E3CAE" w:rsidRPr="002C7035">
        <w:rPr>
          <w:rFonts w:cs="Arial"/>
          <w:szCs w:val="20"/>
          <w:lang w:eastAsia="en-US"/>
        </w:rPr>
        <w:t xml:space="preserve">Será rescindido o contrato em execução com a contratada inadimplente no </w:t>
      </w:r>
      <w:r w:rsidR="00CA02C8">
        <w:rPr>
          <w:rFonts w:cs="Arial"/>
          <w:szCs w:val="20"/>
          <w:lang w:eastAsia="en-US"/>
        </w:rPr>
        <w:t>SICAF</w:t>
      </w:r>
      <w:r w:rsidR="002E3CAE" w:rsidRPr="002C7035">
        <w:rPr>
          <w:rFonts w:cs="Arial"/>
          <w:szCs w:val="20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:rsidR="002E3CAE" w:rsidRPr="002C7035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lastRenderedPageBreak/>
        <w:t>Quando do pagamento, será efetuada a retenção tributária prevista na legislação aplicável.</w:t>
      </w:r>
    </w:p>
    <w:p w:rsidR="002E3CAE" w:rsidRPr="002C7035" w:rsidRDefault="002E3CAE" w:rsidP="000528E5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before="120" w:after="120" w:line="276" w:lineRule="auto"/>
        <w:ind w:left="1134" w:firstLine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AA2B09" w:rsidRPr="000528E5" w:rsidRDefault="000528E5" w:rsidP="000528E5">
      <w:pPr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  <w:lang w:eastAsia="en-US"/>
        </w:rPr>
        <w:t xml:space="preserve"> </w:t>
      </w:r>
    </w:p>
    <w:p w:rsidR="002E3CAE" w:rsidRPr="00413DFC" w:rsidRDefault="002E3CAE" w:rsidP="000528E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EM = I x N x VP, sendo: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snapToGrid w:val="0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>EM = Encargos moratórios;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N = Número de dias entre a data prevista para o pagamento e a do efetivo pagamento;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color w:val="000000"/>
          <w:szCs w:val="20"/>
        </w:rPr>
        <w:t>VP = Valor da parcela a ser paga.</w:t>
      </w:r>
    </w:p>
    <w:p w:rsidR="002E3CAE" w:rsidRPr="00413DFC" w:rsidRDefault="002E3CAE" w:rsidP="002E3CAE">
      <w:pPr>
        <w:tabs>
          <w:tab w:val="left" w:pos="1701"/>
        </w:tabs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413DFC">
        <w:rPr>
          <w:rFonts w:cs="Arial"/>
          <w:snapToGrid w:val="0"/>
          <w:color w:val="000000"/>
          <w:szCs w:val="20"/>
        </w:rPr>
        <w:t xml:space="preserve">I = Índice de compensação financeira = </w:t>
      </w:r>
      <w:r w:rsidRPr="00413DFC">
        <w:rPr>
          <w:rFonts w:cs="Arial"/>
          <w:color w:val="000000"/>
          <w:szCs w:val="20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588"/>
        <w:gridCol w:w="1276"/>
        <w:gridCol w:w="4784"/>
      </w:tblGrid>
      <w:tr w:rsidR="002E3CAE" w:rsidRPr="00413DFC" w:rsidTr="008A3788">
        <w:tc>
          <w:tcPr>
            <w:tcW w:w="2214" w:type="dxa"/>
            <w:vAlign w:val="center"/>
          </w:tcPr>
          <w:p w:rsidR="002E3CAE" w:rsidRPr="00413DFC" w:rsidRDefault="002E3CAE" w:rsidP="008A3788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413DFC" w:rsidRDefault="002E3CAE" w:rsidP="008A3788">
            <w:pPr>
              <w:tabs>
                <w:tab w:val="left" w:pos="1701"/>
              </w:tabs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413DFC" w:rsidRDefault="002E3CAE" w:rsidP="008A3788">
            <w:pPr>
              <w:tabs>
                <w:tab w:val="left" w:pos="1701"/>
              </w:tabs>
              <w:jc w:val="center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413DFC" w:rsidRDefault="002E3CAE" w:rsidP="008A3788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I = 0,00016438</w:t>
            </w:r>
          </w:p>
          <w:p w:rsidR="002E3CAE" w:rsidRPr="00413DFC" w:rsidRDefault="002E3CAE" w:rsidP="008A3788">
            <w:pPr>
              <w:tabs>
                <w:tab w:val="left" w:pos="1701"/>
              </w:tabs>
              <w:ind w:left="742"/>
              <w:rPr>
                <w:rFonts w:cs="Arial"/>
                <w:color w:val="000000"/>
                <w:szCs w:val="20"/>
              </w:rPr>
            </w:pPr>
            <w:r w:rsidRPr="00413DFC">
              <w:rPr>
                <w:rFonts w:cs="Arial"/>
                <w:color w:val="000000"/>
                <w:szCs w:val="20"/>
              </w:rPr>
              <w:t>TX = Percentual da taxa anual = 6%</w:t>
            </w:r>
          </w:p>
        </w:tc>
      </w:tr>
    </w:tbl>
    <w:p w:rsidR="00EA46E8" w:rsidRDefault="002E3CAE" w:rsidP="00EA46E8">
      <w:r>
        <w:t xml:space="preserve">                                                            365</w:t>
      </w:r>
    </w:p>
    <w:p w:rsidR="006F7BAF" w:rsidRDefault="006F7BAF" w:rsidP="00EA46E8"/>
    <w:p w:rsidR="006F7BAF" w:rsidRPr="002C7035" w:rsidRDefault="004772C2" w:rsidP="006F7BAF">
      <w:pPr>
        <w:pStyle w:val="Nivel1"/>
      </w:pPr>
      <w:r w:rsidRPr="002C7035">
        <w:t xml:space="preserve">DO </w:t>
      </w:r>
      <w:r w:rsidR="006F7BAF" w:rsidRPr="002C7035">
        <w:t>REAJUSTE</w:t>
      </w:r>
      <w:r w:rsidR="00C46167" w:rsidRPr="002C7035">
        <w:t xml:space="preserve"> </w:t>
      </w:r>
    </w:p>
    <w:p w:rsidR="006F7BAF" w:rsidRPr="002C7035" w:rsidRDefault="006F7BAF" w:rsidP="006F7BA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Os preços são fixos e irreajustáveis no prazo de um ano contado da data limite para a apresentação das propostas.</w:t>
      </w:r>
    </w:p>
    <w:p w:rsidR="006F7BAF" w:rsidRPr="002C7035" w:rsidRDefault="006F7BAF" w:rsidP="006F7BAF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szCs w:val="20"/>
        </w:rPr>
        <w:t xml:space="preserve">Dentro do prazo de vigência do contrato e mediante solicitação da contratada, os preços contratados poderão sofrer reajuste após o interregno de um ano, aplicando-se o índice </w:t>
      </w:r>
      <w:r w:rsidR="00AA0E23" w:rsidRPr="002C7035">
        <w:rPr>
          <w:rFonts w:cs="Arial"/>
          <w:szCs w:val="20"/>
        </w:rPr>
        <w:t>IPCA/IBGE</w:t>
      </w:r>
      <w:r w:rsidRPr="002C7035">
        <w:rPr>
          <w:rFonts w:cs="Arial"/>
          <w:szCs w:val="20"/>
        </w:rPr>
        <w:t xml:space="preserve"> exclusivamente para as obrigações iniciadas e concluídas após a ocorrência da anualidade</w:t>
      </w:r>
      <w:r w:rsidRPr="002C7035">
        <w:rPr>
          <w:rFonts w:cs="Arial"/>
          <w:color w:val="000000"/>
          <w:szCs w:val="20"/>
        </w:rPr>
        <w:t>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Nos reajustes subsequentes ao primeiro, o interregno mínimo de um ano será contado a partir dos efeitos financeiros do último reajuste.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No caso de atraso ou não divulgação do índice de reajustamento, o CONTRATANTE pagará à CONTRATADA a importância calculada pela última variação conhecida, liquidando a diferença correspondente tão logo seja divulgado o índice definitivo. Fica a CONTRATADA obrigada a apresentar memória de cálculo referente ao reajustamento de preços do valor remanescente, sempre que este ocorrer.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Nas aferições finais, o índice utilizado para reajuste será, obrigatoriamente, o definitivo.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>Caso o índice estabelecido para reajustamento venha a ser extinto ou de qualquer forma não possa mais ser utilizado, será adotado, em substituição, o que vier a ser determinado pela legislação então em vigor.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2C7035" w:rsidRPr="002C7035" w:rsidRDefault="002C7035" w:rsidP="002C7035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contextualSpacing w:val="0"/>
        <w:jc w:val="both"/>
        <w:rPr>
          <w:rFonts w:cs="Arial"/>
          <w:color w:val="000000"/>
          <w:szCs w:val="20"/>
        </w:rPr>
      </w:pPr>
      <w:r w:rsidRPr="002C7035">
        <w:rPr>
          <w:rFonts w:cs="Arial"/>
          <w:color w:val="000000"/>
          <w:szCs w:val="20"/>
        </w:rPr>
        <w:t xml:space="preserve">O reajuste será realizado por </w:t>
      </w:r>
      <w:proofErr w:type="spellStart"/>
      <w:r w:rsidRPr="002C7035">
        <w:rPr>
          <w:rFonts w:cs="Arial"/>
          <w:color w:val="000000"/>
          <w:szCs w:val="20"/>
        </w:rPr>
        <w:t>apostilamento</w:t>
      </w:r>
      <w:proofErr w:type="spellEnd"/>
      <w:r w:rsidRPr="002C7035">
        <w:rPr>
          <w:rFonts w:cs="Arial"/>
          <w:color w:val="000000"/>
          <w:szCs w:val="20"/>
        </w:rPr>
        <w:t>.</w:t>
      </w:r>
    </w:p>
    <w:p w:rsidR="00D37DC8" w:rsidRPr="002C7035" w:rsidRDefault="002C7035" w:rsidP="00D37DC8">
      <w:pPr>
        <w:pStyle w:val="Nivel1"/>
      </w:pPr>
      <w:r w:rsidRPr="002C7035">
        <w:lastRenderedPageBreak/>
        <w:t>DA</w:t>
      </w:r>
      <w:r w:rsidR="00D37DC8" w:rsidRPr="002C7035">
        <w:t xml:space="preserve"> GARANTIA DE EXECUÇÃO</w:t>
      </w:r>
    </w:p>
    <w:p w:rsidR="00123B54" w:rsidRPr="00AA0E23" w:rsidRDefault="00123B54" w:rsidP="00123B54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</w:rPr>
      </w:pPr>
      <w:r w:rsidRPr="00AA0E23">
        <w:rPr>
          <w:rFonts w:cs="Arial"/>
        </w:rPr>
        <w:t>Não haverá exigência de garantia contratual da execução, pelas razões abaixo justificadas:</w:t>
      </w:r>
    </w:p>
    <w:p w:rsidR="00AA0E23" w:rsidRPr="001B38A0" w:rsidRDefault="00AA0E23" w:rsidP="00AA0E23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</w:rPr>
      </w:pPr>
      <w:proofErr w:type="gramStart"/>
      <w:r w:rsidRPr="001B38A0">
        <w:rPr>
          <w:rFonts w:cs="Arial"/>
        </w:rPr>
        <w:t>trata</w:t>
      </w:r>
      <w:proofErr w:type="gramEnd"/>
      <w:r w:rsidRPr="001B38A0">
        <w:rPr>
          <w:rFonts w:cs="Arial"/>
        </w:rPr>
        <w:t>-se de licitação para aquisição de bens, o que não justifica a solicitação de garantia de execução devido à complexidade deste ônus, que poderia inviabilizar a participação de potenciais fornecedores qualificados para a demanda.</w:t>
      </w:r>
    </w:p>
    <w:p w:rsidR="001E14AF" w:rsidRPr="0000392B" w:rsidRDefault="001E14AF" w:rsidP="00EA46E8">
      <w:pPr>
        <w:pStyle w:val="Nivel1"/>
        <w:numPr>
          <w:ilvl w:val="0"/>
          <w:numId w:val="37"/>
        </w:numPr>
      </w:pPr>
      <w:r w:rsidRPr="0000392B">
        <w:t>DAS SANÇÕES ADMINISTRATIVAS</w:t>
      </w:r>
    </w:p>
    <w:p w:rsidR="001E14AF" w:rsidRPr="002C7035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 xml:space="preserve">Comete </w:t>
      </w:r>
      <w:r w:rsidRPr="002C7035">
        <w:rPr>
          <w:rFonts w:cs="Arial"/>
          <w:szCs w:val="20"/>
        </w:rPr>
        <w:t>infração administrativa nos termos da Lei nº 10.520, de 2002,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que: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spellStart"/>
      <w:proofErr w:type="gramStart"/>
      <w:r w:rsidRPr="002C7035">
        <w:rPr>
          <w:rFonts w:cs="Arial"/>
          <w:szCs w:val="20"/>
        </w:rPr>
        <w:t>inexecutar</w:t>
      </w:r>
      <w:proofErr w:type="spellEnd"/>
      <w:proofErr w:type="gramEnd"/>
      <w:r w:rsidRPr="002C7035">
        <w:rPr>
          <w:rFonts w:cs="Arial"/>
          <w:szCs w:val="20"/>
        </w:rPr>
        <w:t xml:space="preserve"> total ou parcialmente qualquer das obrigações assumidas em decorrência da contratação;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ensejar</w:t>
      </w:r>
      <w:proofErr w:type="gramEnd"/>
      <w:r w:rsidRPr="002C7035">
        <w:rPr>
          <w:rFonts w:cs="Arial"/>
          <w:szCs w:val="20"/>
        </w:rPr>
        <w:t xml:space="preserve"> o retardamento da execução do objeto;</w:t>
      </w:r>
    </w:p>
    <w:p w:rsidR="001E14AF" w:rsidRPr="002C7035" w:rsidRDefault="00C15A31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falhar</w:t>
      </w:r>
      <w:proofErr w:type="gramEnd"/>
      <w:r w:rsidRPr="002C7035">
        <w:rPr>
          <w:rFonts w:cs="Arial"/>
          <w:szCs w:val="20"/>
        </w:rPr>
        <w:t xml:space="preserve"> ou </w:t>
      </w:r>
      <w:r w:rsidR="001E14AF" w:rsidRPr="002C7035">
        <w:rPr>
          <w:rFonts w:cs="Arial"/>
          <w:szCs w:val="20"/>
        </w:rPr>
        <w:t>fraudar na execução do contrato;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comportar</w:t>
      </w:r>
      <w:proofErr w:type="gramEnd"/>
      <w:r w:rsidRPr="002C7035">
        <w:rPr>
          <w:rFonts w:cs="Arial"/>
          <w:szCs w:val="20"/>
        </w:rPr>
        <w:t>-se de modo inidôneo;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2C7035">
        <w:rPr>
          <w:rFonts w:cs="Arial"/>
          <w:szCs w:val="20"/>
        </w:rPr>
        <w:t>cometer</w:t>
      </w:r>
      <w:proofErr w:type="gramEnd"/>
      <w:r w:rsidRPr="002C7035">
        <w:rPr>
          <w:rFonts w:cs="Arial"/>
          <w:szCs w:val="20"/>
        </w:rPr>
        <w:t xml:space="preserve"> fraude fiscal;</w:t>
      </w:r>
    </w:p>
    <w:p w:rsidR="001E14AF" w:rsidRPr="002C7035" w:rsidRDefault="00C15A31" w:rsidP="00DA7D17">
      <w:pPr>
        <w:pStyle w:val="PargrafodaLista"/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 xml:space="preserve">Pela inexecução </w:t>
      </w:r>
      <w:r w:rsidRPr="002C7035">
        <w:rPr>
          <w:rFonts w:cs="Arial"/>
          <w:szCs w:val="20"/>
          <w:u w:val="single"/>
        </w:rPr>
        <w:t>total ou parcial</w:t>
      </w:r>
      <w:r w:rsidRPr="002C7035">
        <w:rPr>
          <w:rFonts w:cs="Arial"/>
          <w:szCs w:val="20"/>
        </w:rPr>
        <w:t xml:space="preserve"> do objeto deste contrato, a Administração pode aplicar à CONTRATADA as seguintes sanções:</w:t>
      </w:r>
    </w:p>
    <w:p w:rsidR="001E14AF" w:rsidRPr="0000392B" w:rsidRDefault="00DA7D1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 w:rsidRPr="00DA7D17">
        <w:rPr>
          <w:rFonts w:cs="Arial"/>
          <w:b/>
          <w:szCs w:val="20"/>
        </w:rPr>
        <w:t>A</w:t>
      </w:r>
      <w:r w:rsidR="001E14AF" w:rsidRPr="00DA7D17">
        <w:rPr>
          <w:rFonts w:cs="Arial"/>
          <w:b/>
          <w:szCs w:val="20"/>
        </w:rPr>
        <w:t>dvertência</w:t>
      </w:r>
      <w:r w:rsidRPr="00DA7D17">
        <w:rPr>
          <w:rFonts w:cs="Arial"/>
          <w:b/>
          <w:szCs w:val="20"/>
        </w:rPr>
        <w:t>,</w:t>
      </w:r>
      <w:proofErr w:type="gramStart"/>
      <w:r w:rsidRPr="0085196B">
        <w:rPr>
          <w:rFonts w:cs="Arial"/>
          <w:szCs w:val="20"/>
        </w:rPr>
        <w:t xml:space="preserve"> </w:t>
      </w:r>
      <w:r w:rsidR="001E14AF" w:rsidRPr="0000392B">
        <w:rPr>
          <w:rFonts w:cs="Arial"/>
          <w:szCs w:val="20"/>
        </w:rPr>
        <w:t xml:space="preserve"> </w:t>
      </w:r>
      <w:proofErr w:type="gramEnd"/>
      <w:r w:rsidR="001E14AF" w:rsidRPr="0000392B">
        <w:rPr>
          <w:rFonts w:cs="Arial"/>
          <w:szCs w:val="20"/>
        </w:rPr>
        <w:t>por faltas leves, assim entendidas aquelas que não acarretem prejuízos significativos para a C</w:t>
      </w:r>
      <w:r w:rsidR="00A96322" w:rsidRPr="0000392B">
        <w:rPr>
          <w:rFonts w:cs="Arial"/>
          <w:szCs w:val="20"/>
        </w:rPr>
        <w:t>ontratante</w:t>
      </w:r>
      <w:r w:rsidR="001E14AF"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moratória de </w:t>
      </w:r>
      <w:r w:rsidR="00552895" w:rsidRPr="005E49C0">
        <w:rPr>
          <w:rFonts w:cs="Arial"/>
          <w:iCs/>
          <w:szCs w:val="20"/>
        </w:rPr>
        <w:t xml:space="preserve">0,25% </w:t>
      </w:r>
      <w:r w:rsidR="00552895" w:rsidRPr="0000392B">
        <w:rPr>
          <w:rFonts w:cs="Arial"/>
          <w:szCs w:val="20"/>
        </w:rPr>
        <w:t>(</w:t>
      </w:r>
      <w:r w:rsidR="00552895" w:rsidRPr="008B7A3C">
        <w:rPr>
          <w:rFonts w:cs="Arial"/>
          <w:szCs w:val="20"/>
        </w:rPr>
        <w:t>zero vírgula vinte e cinco</w:t>
      </w:r>
      <w:r w:rsidR="00552895" w:rsidRPr="0000392B">
        <w:rPr>
          <w:rFonts w:cs="Arial"/>
          <w:szCs w:val="20"/>
        </w:rPr>
        <w:t xml:space="preserve"> por cento) </w:t>
      </w:r>
      <w:r w:rsidRPr="0000392B">
        <w:rPr>
          <w:rFonts w:cs="Arial"/>
          <w:szCs w:val="20"/>
        </w:rPr>
        <w:t xml:space="preserve">por dia de atraso injustificado sobre o valor da parcela inadimplida, até o limite de </w:t>
      </w:r>
      <w:r w:rsidR="00552895" w:rsidRPr="00CE4F4A">
        <w:rPr>
          <w:rFonts w:cs="Arial"/>
          <w:szCs w:val="20"/>
        </w:rPr>
        <w:t>180 (cento e oitenta)</w:t>
      </w:r>
      <w:r w:rsidR="00552895" w:rsidRPr="0000392B">
        <w:rPr>
          <w:rFonts w:cs="Arial"/>
          <w:szCs w:val="20"/>
        </w:rPr>
        <w:t xml:space="preserve"> dias</w:t>
      </w:r>
      <w:r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multa</w:t>
      </w:r>
      <w:proofErr w:type="gramEnd"/>
      <w:r w:rsidRPr="0000392B">
        <w:rPr>
          <w:rFonts w:cs="Arial"/>
          <w:szCs w:val="20"/>
        </w:rPr>
        <w:t xml:space="preserve"> compensatória de </w:t>
      </w:r>
      <w:r w:rsidR="00552895">
        <w:rPr>
          <w:rFonts w:cs="Arial"/>
          <w:iCs/>
          <w:szCs w:val="20"/>
        </w:rPr>
        <w:t>20</w:t>
      </w:r>
      <w:r w:rsidR="00552895" w:rsidRPr="005E49C0">
        <w:rPr>
          <w:rFonts w:cs="Arial"/>
          <w:iCs/>
          <w:szCs w:val="20"/>
        </w:rPr>
        <w:t>%</w:t>
      </w:r>
      <w:r w:rsidR="00552895" w:rsidRPr="0000392B">
        <w:rPr>
          <w:rFonts w:cs="Arial"/>
          <w:szCs w:val="20"/>
        </w:rPr>
        <w:t xml:space="preserve"> (</w:t>
      </w:r>
      <w:r w:rsidR="00552895">
        <w:rPr>
          <w:rFonts w:cs="Arial"/>
          <w:szCs w:val="20"/>
        </w:rPr>
        <w:t>vinte</w:t>
      </w:r>
      <w:r w:rsidR="00552895" w:rsidRPr="0000392B">
        <w:rPr>
          <w:rFonts w:cs="Arial"/>
          <w:szCs w:val="20"/>
        </w:rPr>
        <w:t xml:space="preserve"> por cento) sobre o valor total do contrato, no caso de inexecução total do objeto</w:t>
      </w:r>
      <w:r w:rsidRPr="0000392B">
        <w:rPr>
          <w:rFonts w:cs="Arial"/>
          <w:szCs w:val="20"/>
        </w:rPr>
        <w:t>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em</w:t>
      </w:r>
      <w:proofErr w:type="gramEnd"/>
      <w:r w:rsidRPr="0000392B">
        <w:rPr>
          <w:rFonts w:cs="Arial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:rsidR="001E14AF" w:rsidRPr="0000392B" w:rsidRDefault="00B92C22" w:rsidP="00B92C22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b/>
          <w:i/>
          <w:color w:val="7030A0"/>
          <w:szCs w:val="20"/>
          <w:u w:val="single"/>
        </w:rPr>
      </w:pPr>
      <w:proofErr w:type="gramStart"/>
      <w:r w:rsidRPr="0000392B">
        <w:rPr>
          <w:rFonts w:cs="Arial"/>
          <w:szCs w:val="20"/>
        </w:rPr>
        <w:t>suspensão</w:t>
      </w:r>
      <w:proofErr w:type="gramEnd"/>
      <w:r w:rsidRPr="0000392B">
        <w:rPr>
          <w:rFonts w:cs="Arial"/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  <w:r w:rsidR="00062C9B" w:rsidRPr="0000392B">
        <w:rPr>
          <w:rFonts w:cs="Arial"/>
          <w:szCs w:val="20"/>
        </w:rPr>
        <w:t xml:space="preserve"> </w:t>
      </w:r>
    </w:p>
    <w:p w:rsidR="001E14AF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impedimento</w:t>
      </w:r>
      <w:proofErr w:type="gramEnd"/>
      <w:r w:rsidRPr="0000392B">
        <w:rPr>
          <w:rFonts w:cs="Arial"/>
          <w:szCs w:val="20"/>
        </w:rPr>
        <w:t xml:space="preserve"> de licitar e </w:t>
      </w:r>
      <w:r w:rsidRPr="002C7035">
        <w:rPr>
          <w:rFonts w:cs="Arial"/>
          <w:szCs w:val="20"/>
        </w:rPr>
        <w:t xml:space="preserve">contratar com </w:t>
      </w:r>
      <w:r w:rsidR="00DA7D17" w:rsidRPr="002C7035">
        <w:rPr>
          <w:rFonts w:cs="Arial"/>
          <w:szCs w:val="20"/>
        </w:rPr>
        <w:t>órgãos e entidades da</w:t>
      </w:r>
      <w:r w:rsidRPr="002C7035">
        <w:rPr>
          <w:rFonts w:cs="Arial"/>
          <w:szCs w:val="20"/>
        </w:rPr>
        <w:t xml:space="preserve"> União</w:t>
      </w:r>
      <w:r w:rsidRPr="0000392B">
        <w:rPr>
          <w:rFonts w:cs="Arial"/>
          <w:szCs w:val="20"/>
        </w:rPr>
        <w:t xml:space="preserve"> com o consequente descredenciamento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 xml:space="preserve"> pelo prazo de até cinco anos;</w:t>
      </w:r>
    </w:p>
    <w:p w:rsidR="00834300" w:rsidRPr="002C7035" w:rsidRDefault="00834300" w:rsidP="00834300">
      <w:pPr>
        <w:pStyle w:val="PargrafodaLista1"/>
        <w:numPr>
          <w:ilvl w:val="3"/>
          <w:numId w:val="1"/>
        </w:numPr>
        <w:spacing w:before="120" w:after="120" w:line="276" w:lineRule="auto"/>
        <w:ind w:right="-30"/>
        <w:jc w:val="both"/>
        <w:rPr>
          <w:rFonts w:ascii="Arial" w:hAnsi="Arial" w:cs="Arial"/>
          <w:sz w:val="20"/>
          <w:szCs w:val="20"/>
        </w:rPr>
      </w:pPr>
      <w:r w:rsidRPr="002C7035">
        <w:rPr>
          <w:rFonts w:ascii="Arial" w:hAnsi="Arial" w:cs="Arial"/>
          <w:sz w:val="20"/>
          <w:szCs w:val="20"/>
        </w:rPr>
        <w:t>A Sanção de impedimento de licitar e contratar prevista neste subitem também é aplicável em quaisquer das hipóteses previstas como infração administrativa no subitem 19.1 deste Termo de Referência.</w:t>
      </w:r>
    </w:p>
    <w:p w:rsidR="001E14AF" w:rsidRPr="002C7035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declaração</w:t>
      </w:r>
      <w:proofErr w:type="gramEnd"/>
      <w:r w:rsidRPr="0000392B">
        <w:rPr>
          <w:rFonts w:cs="Arial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</w:t>
      </w:r>
      <w:r w:rsidRPr="002C7035">
        <w:rPr>
          <w:rFonts w:cs="Arial"/>
          <w:szCs w:val="20"/>
        </w:rPr>
        <w:t>concedida sempre que a C</w:t>
      </w:r>
      <w:r w:rsidR="00A96322" w:rsidRPr="002C7035">
        <w:rPr>
          <w:rFonts w:cs="Arial"/>
          <w:szCs w:val="20"/>
        </w:rPr>
        <w:t>ontratada</w:t>
      </w:r>
      <w:r w:rsidRPr="002C7035">
        <w:rPr>
          <w:rFonts w:cs="Arial"/>
          <w:szCs w:val="20"/>
        </w:rPr>
        <w:t xml:space="preserve"> ressarcir a C</w:t>
      </w:r>
      <w:r w:rsidR="00A96322" w:rsidRPr="002C7035">
        <w:rPr>
          <w:rFonts w:cs="Arial"/>
          <w:szCs w:val="20"/>
        </w:rPr>
        <w:t>ontratante</w:t>
      </w:r>
      <w:r w:rsidRPr="002C7035">
        <w:rPr>
          <w:rFonts w:cs="Arial"/>
          <w:szCs w:val="20"/>
        </w:rPr>
        <w:t xml:space="preserve"> pelos prejuízos causados;</w:t>
      </w:r>
    </w:p>
    <w:p w:rsidR="00563CBA" w:rsidRPr="002C7035" w:rsidRDefault="00563CBA" w:rsidP="00563CBA">
      <w:pPr>
        <w:numPr>
          <w:ilvl w:val="1"/>
          <w:numId w:val="1"/>
        </w:numPr>
        <w:spacing w:before="120" w:after="120" w:line="276" w:lineRule="auto"/>
        <w:ind w:right="-30"/>
        <w:jc w:val="both"/>
        <w:rPr>
          <w:rFonts w:cs="Arial"/>
          <w:szCs w:val="20"/>
        </w:rPr>
      </w:pPr>
      <w:r w:rsidRPr="002C7035">
        <w:rPr>
          <w:rFonts w:cs="Arial"/>
          <w:szCs w:val="20"/>
        </w:rPr>
        <w:t>As s</w:t>
      </w:r>
      <w:r w:rsidR="00DA7D17" w:rsidRPr="002C7035">
        <w:rPr>
          <w:rFonts w:cs="Arial"/>
          <w:szCs w:val="20"/>
        </w:rPr>
        <w:t>anções previstas nos subitens 12.2.1, 12.3.3, 12.3.4 e 12</w:t>
      </w:r>
      <w:r w:rsidRPr="002C7035">
        <w:rPr>
          <w:rFonts w:cs="Arial"/>
          <w:szCs w:val="20"/>
        </w:rPr>
        <w:t>.3.5 poderão ser aplicadas à CONTRATADA juntamente com as de multa, descontando-a dos pagamentos a serem efetuados.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Também ficam sujeitas às penalidades do art. 87, III e IV da Lei nº 8.666, de 1993, a</w:t>
      </w:r>
      <w:r w:rsidR="00806D9B" w:rsidRPr="0000392B">
        <w:rPr>
          <w:rFonts w:cs="Arial"/>
          <w:szCs w:val="20"/>
        </w:rPr>
        <w:t>s</w:t>
      </w:r>
      <w:r w:rsidRPr="0000392B">
        <w:rPr>
          <w:rFonts w:cs="Arial"/>
          <w:szCs w:val="20"/>
        </w:rPr>
        <w:t xml:space="preserve"> </w:t>
      </w:r>
      <w:r w:rsidR="00806D9B" w:rsidRPr="0000392B">
        <w:rPr>
          <w:rFonts w:cs="Arial"/>
          <w:szCs w:val="20"/>
        </w:rPr>
        <w:t>empresas ou profissionais</w:t>
      </w:r>
      <w:r w:rsidRPr="0000392B">
        <w:rPr>
          <w:rFonts w:cs="Arial"/>
          <w:szCs w:val="20"/>
        </w:rPr>
        <w:t xml:space="preserve"> que: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lastRenderedPageBreak/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sofrido condenação definitiva por praticar, por meio dolosos, fraude fiscal no recolhimento de quaisquer tributos;</w:t>
      </w:r>
    </w:p>
    <w:p w:rsidR="001E14AF" w:rsidRPr="0000392B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tenha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praticado atos ilícitos visando a frustrar os objetivos da licitação;</w:t>
      </w:r>
    </w:p>
    <w:p w:rsidR="001E14AF" w:rsidRPr="0000392B" w:rsidRDefault="001E14AF" w:rsidP="0029415B">
      <w:pPr>
        <w:numPr>
          <w:ilvl w:val="2"/>
          <w:numId w:val="1"/>
        </w:numPr>
        <w:spacing w:before="240" w:after="120" w:line="276" w:lineRule="auto"/>
        <w:ind w:left="1134" w:right="-17" w:hanging="283"/>
        <w:jc w:val="both"/>
        <w:rPr>
          <w:rFonts w:cs="Arial"/>
          <w:szCs w:val="20"/>
        </w:rPr>
      </w:pPr>
      <w:proofErr w:type="gramStart"/>
      <w:r w:rsidRPr="0000392B">
        <w:rPr>
          <w:rFonts w:cs="Arial"/>
          <w:szCs w:val="20"/>
        </w:rPr>
        <w:t>demonstre</w:t>
      </w:r>
      <w:r w:rsidR="00806D9B" w:rsidRPr="0000392B">
        <w:rPr>
          <w:rFonts w:cs="Arial"/>
          <w:szCs w:val="20"/>
        </w:rPr>
        <w:t>m</w:t>
      </w:r>
      <w:proofErr w:type="gramEnd"/>
      <w:r w:rsidRPr="0000392B">
        <w:rPr>
          <w:rFonts w:cs="Arial"/>
          <w:szCs w:val="20"/>
        </w:rPr>
        <w:t xml:space="preserve"> não possuir idoneidade para contratar com a Administração em virtude de atos ilícitos praticados.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00392B">
        <w:rPr>
          <w:rFonts w:cs="Arial"/>
          <w:szCs w:val="20"/>
        </w:rPr>
        <w:t>A aplicação de qualquer das penalidades previstas realizar-se-á em processo administrativo que assegurará o contraditório e a ampla defesa à C</w:t>
      </w:r>
      <w:r w:rsidR="009E377E" w:rsidRPr="0000392B">
        <w:rPr>
          <w:rFonts w:cs="Arial"/>
          <w:szCs w:val="20"/>
        </w:rPr>
        <w:t>ontratada</w:t>
      </w:r>
      <w:r w:rsidRPr="0000392B">
        <w:rPr>
          <w:rFonts w:cs="Arial"/>
          <w:szCs w:val="20"/>
        </w:rPr>
        <w:t>, observando-se o procedimento previsto na Lei nº 8.666, de 1993, e subsidiariamente a Lei nº 9.784, de 1999.</w:t>
      </w:r>
    </w:p>
    <w:p w:rsidR="001E14AF" w:rsidRPr="0000392B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E14AF" w:rsidRPr="00563CBA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/>
          <w:szCs w:val="20"/>
        </w:rPr>
      </w:pPr>
      <w:r w:rsidRPr="0000392B">
        <w:rPr>
          <w:rFonts w:cs="Arial"/>
          <w:szCs w:val="20"/>
        </w:rPr>
        <w:t xml:space="preserve">As penalidades serão obrigatoriamente registradas no </w:t>
      </w:r>
      <w:r w:rsidR="00CA02C8">
        <w:rPr>
          <w:rFonts w:cs="Arial"/>
          <w:szCs w:val="20"/>
        </w:rPr>
        <w:t>SICAF</w:t>
      </w:r>
      <w:r w:rsidRPr="0000392B">
        <w:rPr>
          <w:rFonts w:cs="Arial"/>
          <w:szCs w:val="20"/>
        </w:rPr>
        <w:t>.</w:t>
      </w: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7152C7" w:rsidRPr="002C7035" w:rsidRDefault="007152C7" w:rsidP="00563CBA">
      <w:pPr>
        <w:spacing w:before="120" w:after="120" w:line="276" w:lineRule="auto"/>
        <w:ind w:left="425"/>
        <w:jc w:val="both"/>
        <w:rPr>
          <w:rFonts w:cs="Arial"/>
          <w:i/>
          <w:szCs w:val="20"/>
        </w:rPr>
      </w:pPr>
    </w:p>
    <w:p w:rsidR="001E14AF" w:rsidRPr="00552895" w:rsidRDefault="001E14AF" w:rsidP="00552895">
      <w:pPr>
        <w:spacing w:after="360"/>
        <w:ind w:left="360"/>
        <w:jc w:val="center"/>
        <w:rPr>
          <w:rFonts w:cs="Arial"/>
          <w:szCs w:val="20"/>
        </w:rPr>
      </w:pPr>
      <w:r w:rsidRPr="00552895">
        <w:rPr>
          <w:rFonts w:cs="Arial"/>
          <w:szCs w:val="20"/>
        </w:rPr>
        <w:t xml:space="preserve">Município </w:t>
      </w:r>
      <w:proofErr w:type="gramStart"/>
      <w:r w:rsidRPr="00552895">
        <w:rPr>
          <w:rFonts w:cs="Arial"/>
          <w:szCs w:val="20"/>
        </w:rPr>
        <w:t>de</w:t>
      </w:r>
      <w:r w:rsidRPr="00552895">
        <w:rPr>
          <w:rFonts w:cs="Arial"/>
          <w:b/>
          <w:bCs/>
          <w:szCs w:val="20"/>
        </w:rPr>
        <w:t xml:space="preserve"> </w:t>
      </w:r>
      <w:r w:rsidR="00124FA4" w:rsidRPr="00552895">
        <w:rPr>
          <w:rFonts w:cs="Arial"/>
          <w:b/>
          <w:bCs/>
          <w:szCs w:val="20"/>
        </w:rPr>
        <w:t>...</w:t>
      </w:r>
      <w:proofErr w:type="gramEnd"/>
      <w:r w:rsidR="00124FA4" w:rsidRPr="00552895">
        <w:rPr>
          <w:rFonts w:cs="Arial"/>
          <w:b/>
          <w:bCs/>
          <w:szCs w:val="20"/>
        </w:rPr>
        <w:t>..</w:t>
      </w:r>
      <w:r w:rsidR="00552895">
        <w:rPr>
          <w:rFonts w:cs="Arial"/>
          <w:b/>
          <w:bCs/>
          <w:szCs w:val="20"/>
        </w:rPr>
        <w:t>......................</w:t>
      </w:r>
      <w:r w:rsidR="00124FA4" w:rsidRPr="00552895">
        <w:rPr>
          <w:rFonts w:cs="Arial"/>
          <w:b/>
          <w:bCs/>
          <w:szCs w:val="20"/>
        </w:rPr>
        <w:t>.........., .....</w:t>
      </w:r>
      <w:r w:rsidR="00552895">
        <w:rPr>
          <w:rFonts w:cs="Arial"/>
          <w:b/>
          <w:bCs/>
          <w:szCs w:val="20"/>
        </w:rPr>
        <w:t>......</w:t>
      </w:r>
      <w:r w:rsidR="00124FA4" w:rsidRPr="00552895">
        <w:rPr>
          <w:rFonts w:cs="Arial"/>
          <w:b/>
          <w:bCs/>
          <w:szCs w:val="20"/>
        </w:rPr>
        <w:t xml:space="preserve">..... </w:t>
      </w:r>
      <w:proofErr w:type="gramStart"/>
      <w:r w:rsidR="00124FA4" w:rsidRPr="00552895">
        <w:rPr>
          <w:rFonts w:cs="Arial"/>
          <w:bCs/>
          <w:szCs w:val="20"/>
        </w:rPr>
        <w:t>de</w:t>
      </w:r>
      <w:proofErr w:type="gramEnd"/>
      <w:r w:rsidR="00124FA4" w:rsidRPr="00552895">
        <w:rPr>
          <w:rFonts w:cs="Arial"/>
          <w:b/>
          <w:bCs/>
          <w:szCs w:val="20"/>
        </w:rPr>
        <w:t xml:space="preserve"> ........</w:t>
      </w:r>
      <w:r w:rsidR="00552895">
        <w:rPr>
          <w:rFonts w:cs="Arial"/>
          <w:b/>
          <w:bCs/>
          <w:szCs w:val="20"/>
        </w:rPr>
        <w:t>.........</w:t>
      </w:r>
      <w:r w:rsidR="00124FA4" w:rsidRPr="00552895">
        <w:rPr>
          <w:rFonts w:cs="Arial"/>
          <w:b/>
          <w:bCs/>
          <w:szCs w:val="20"/>
        </w:rPr>
        <w:t>........</w:t>
      </w:r>
      <w:r w:rsidR="00124FA4" w:rsidRPr="00552895">
        <w:rPr>
          <w:rFonts w:cs="Arial"/>
          <w:bCs/>
          <w:szCs w:val="20"/>
        </w:rPr>
        <w:t>de</w:t>
      </w:r>
      <w:r w:rsidR="00124FA4" w:rsidRPr="00552895">
        <w:rPr>
          <w:rFonts w:cs="Arial"/>
          <w:b/>
          <w:bCs/>
          <w:szCs w:val="20"/>
        </w:rPr>
        <w:t xml:space="preserve"> ............</w:t>
      </w:r>
      <w:r w:rsidRPr="00552895">
        <w:rPr>
          <w:rFonts w:cs="Arial"/>
          <w:szCs w:val="20"/>
        </w:rPr>
        <w:t>.</w:t>
      </w:r>
    </w:p>
    <w:p w:rsidR="001E14AF" w:rsidRPr="002C7035" w:rsidRDefault="001E14AF" w:rsidP="0029415B">
      <w:pPr>
        <w:spacing w:after="360"/>
        <w:ind w:left="360"/>
        <w:rPr>
          <w:rFonts w:cs="Arial"/>
          <w:szCs w:val="20"/>
        </w:rPr>
      </w:pPr>
    </w:p>
    <w:p w:rsidR="001E14AF" w:rsidRPr="002C7035" w:rsidRDefault="001E14AF" w:rsidP="00552895">
      <w:pPr>
        <w:ind w:left="360"/>
        <w:jc w:val="center"/>
        <w:rPr>
          <w:rFonts w:cs="Arial"/>
          <w:szCs w:val="20"/>
        </w:rPr>
      </w:pPr>
      <w:r w:rsidRPr="002C7035">
        <w:rPr>
          <w:rFonts w:cs="Arial"/>
          <w:szCs w:val="20"/>
        </w:rPr>
        <w:t>__________________________________</w:t>
      </w:r>
    </w:p>
    <w:p w:rsidR="001E14AF" w:rsidRDefault="00552895" w:rsidP="00552895">
      <w:pPr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t>ELISÂNGELA PATRÍCIA MAIA DE ARAÚJO</w:t>
      </w:r>
    </w:p>
    <w:p w:rsidR="00552895" w:rsidRPr="002C7035" w:rsidRDefault="00552895" w:rsidP="00552895">
      <w:pPr>
        <w:ind w:left="360"/>
        <w:jc w:val="center"/>
        <w:rPr>
          <w:rFonts w:cs="Arial"/>
          <w:szCs w:val="20"/>
        </w:rPr>
      </w:pPr>
      <w:r>
        <w:rPr>
          <w:rFonts w:cs="Arial"/>
          <w:szCs w:val="20"/>
        </w:rPr>
        <w:t>BIOCEN/UFAL</w:t>
      </w:r>
    </w:p>
    <w:p w:rsidR="009D68FB" w:rsidRDefault="009D68FB" w:rsidP="0029415B">
      <w:pPr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p w:rsidR="00A2471D" w:rsidRDefault="00A2471D" w:rsidP="0029415B">
      <w:pPr>
        <w:rPr>
          <w:rFonts w:cs="Arial"/>
          <w:szCs w:val="20"/>
        </w:rPr>
      </w:pPr>
    </w:p>
    <w:sectPr w:rsidR="00A2471D" w:rsidSect="00A3644B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D0" w:rsidRDefault="004254D0">
      <w:r>
        <w:separator/>
      </w:r>
    </w:p>
  </w:endnote>
  <w:endnote w:type="continuationSeparator" w:id="0">
    <w:p w:rsidR="004254D0" w:rsidRDefault="0042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D0" w:rsidRPr="00771167" w:rsidRDefault="004254D0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:rsidR="004254D0" w:rsidRPr="00771167" w:rsidRDefault="004254D0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 xml:space="preserve">Comissão Permanente de </w:t>
    </w:r>
    <w:r>
      <w:rPr>
        <w:rFonts w:cs="Arial"/>
        <w:sz w:val="12"/>
        <w:szCs w:val="12"/>
      </w:rPr>
      <w:t>Modelos de Licitações e Contratos da</w:t>
    </w:r>
    <w:r w:rsidRPr="00771167">
      <w:rPr>
        <w:rFonts w:cs="Arial"/>
        <w:sz w:val="12"/>
        <w:szCs w:val="12"/>
      </w:rPr>
      <w:t xml:space="preserve"> Consultoria-Geral da União</w:t>
    </w:r>
  </w:p>
  <w:p w:rsidR="004254D0" w:rsidRPr="00771167" w:rsidRDefault="004254D0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:rsidR="004254D0" w:rsidRPr="00771167" w:rsidRDefault="004254D0" w:rsidP="00A3644B">
    <w:pPr>
      <w:pStyle w:val="Rodap"/>
      <w:rPr>
        <w:rFonts w:cs="Arial"/>
      </w:rPr>
    </w:pPr>
    <w:r>
      <w:rPr>
        <w:rFonts w:cs="Arial"/>
        <w:sz w:val="12"/>
        <w:szCs w:val="12"/>
      </w:rPr>
      <w:t>Atualização: Dezembro/2018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D0" w:rsidRDefault="004254D0">
      <w:r>
        <w:separator/>
      </w:r>
    </w:p>
  </w:footnote>
  <w:footnote w:type="continuationSeparator" w:id="0">
    <w:p w:rsidR="004254D0" w:rsidRDefault="00425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FABEF8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0D602C9"/>
    <w:multiLevelType w:val="multilevel"/>
    <w:tmpl w:val="085CEE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3D3B4FA6"/>
    <w:multiLevelType w:val="multilevel"/>
    <w:tmpl w:val="AB74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A9545E"/>
    <w:multiLevelType w:val="multilevel"/>
    <w:tmpl w:val="D690D5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1"/>
  </w:num>
  <w:num w:numId="5">
    <w:abstractNumId w:val="19"/>
  </w:num>
  <w:num w:numId="6">
    <w:abstractNumId w:val="28"/>
  </w:num>
  <w:num w:numId="7">
    <w:abstractNumId w:val="2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16"/>
  </w:num>
  <w:num w:numId="28">
    <w:abstractNumId w:val="30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11"/>
  </w:num>
  <w:num w:numId="35">
    <w:abstractNumId w:val="34"/>
  </w:num>
  <w:num w:numId="36">
    <w:abstractNumId w:val="17"/>
  </w:num>
  <w:num w:numId="37">
    <w:abstractNumId w:val="21"/>
    <w:lvlOverride w:ilvl="0">
      <w:startOverride w:val="12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21"/>
    <w:lvlOverride w:ilvl="0">
      <w:startOverride w:val="12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82"/>
    <w:rsid w:val="0000236D"/>
    <w:rsid w:val="00003298"/>
    <w:rsid w:val="0000392B"/>
    <w:rsid w:val="000066B7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0F625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B005B"/>
    <w:rsid w:val="001B04B2"/>
    <w:rsid w:val="001C1001"/>
    <w:rsid w:val="001C3F32"/>
    <w:rsid w:val="001C48B6"/>
    <w:rsid w:val="001C4C04"/>
    <w:rsid w:val="001C694F"/>
    <w:rsid w:val="001C71C1"/>
    <w:rsid w:val="001C721E"/>
    <w:rsid w:val="001D45E2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13834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3C8"/>
    <w:rsid w:val="0028765E"/>
    <w:rsid w:val="0029037D"/>
    <w:rsid w:val="00291654"/>
    <w:rsid w:val="002937D4"/>
    <w:rsid w:val="0029415B"/>
    <w:rsid w:val="00294F04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96F56"/>
    <w:rsid w:val="003A73C1"/>
    <w:rsid w:val="003B791E"/>
    <w:rsid w:val="003C609E"/>
    <w:rsid w:val="003C6275"/>
    <w:rsid w:val="003D1D5C"/>
    <w:rsid w:val="003D69A5"/>
    <w:rsid w:val="003E15D4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3CA7"/>
    <w:rsid w:val="00415F27"/>
    <w:rsid w:val="00416986"/>
    <w:rsid w:val="00416A59"/>
    <w:rsid w:val="00416C6F"/>
    <w:rsid w:val="00417CA8"/>
    <w:rsid w:val="0042190C"/>
    <w:rsid w:val="00425359"/>
    <w:rsid w:val="004254D0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20536"/>
    <w:rsid w:val="0053132E"/>
    <w:rsid w:val="00546070"/>
    <w:rsid w:val="00552895"/>
    <w:rsid w:val="00553BF9"/>
    <w:rsid w:val="00561C04"/>
    <w:rsid w:val="0056213B"/>
    <w:rsid w:val="00562F82"/>
    <w:rsid w:val="00563CBA"/>
    <w:rsid w:val="005641A6"/>
    <w:rsid w:val="00564913"/>
    <w:rsid w:val="0057203C"/>
    <w:rsid w:val="00576E0B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53D7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44D09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36F8B"/>
    <w:rsid w:val="00841504"/>
    <w:rsid w:val="008429CF"/>
    <w:rsid w:val="008446E2"/>
    <w:rsid w:val="008459A0"/>
    <w:rsid w:val="0084683E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735C6"/>
    <w:rsid w:val="008821F3"/>
    <w:rsid w:val="00886C81"/>
    <w:rsid w:val="00887874"/>
    <w:rsid w:val="008941DB"/>
    <w:rsid w:val="00895D7E"/>
    <w:rsid w:val="008A16EA"/>
    <w:rsid w:val="008A3788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D7A9D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2A34"/>
    <w:rsid w:val="009D3626"/>
    <w:rsid w:val="009D68FB"/>
    <w:rsid w:val="009D7EDF"/>
    <w:rsid w:val="009E04B3"/>
    <w:rsid w:val="009E0DFC"/>
    <w:rsid w:val="009E377E"/>
    <w:rsid w:val="009E428C"/>
    <w:rsid w:val="009E4E00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72C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2878"/>
    <w:rsid w:val="00A96322"/>
    <w:rsid w:val="00AA0E23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D51DB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4E3C"/>
    <w:rsid w:val="00B16238"/>
    <w:rsid w:val="00B23F8B"/>
    <w:rsid w:val="00B27724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3B25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3456"/>
    <w:rsid w:val="00C60C2D"/>
    <w:rsid w:val="00C65F86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29CC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38F1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302"/>
    <w:rsid w:val="00D77D52"/>
    <w:rsid w:val="00D80021"/>
    <w:rsid w:val="00D8724C"/>
    <w:rsid w:val="00D938C1"/>
    <w:rsid w:val="00DA06AB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3A8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FC2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86431-8EE3-4061-8F60-05F6FFA9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147</TotalTime>
  <Pages>8</Pages>
  <Words>3122</Words>
  <Characters>17239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01411676459</cp:lastModifiedBy>
  <cp:revision>12</cp:revision>
  <cp:lastPrinted>2018-12-20T16:54:00Z</cp:lastPrinted>
  <dcterms:created xsi:type="dcterms:W3CDTF">2018-12-20T16:55:00Z</dcterms:created>
  <dcterms:modified xsi:type="dcterms:W3CDTF">2019-04-29T15:43:00Z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