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e"/>
        <w:shd w:val="clear" w:fill="FFFFCC"/>
        <w:tabs>
          <w:tab w:val="center" w:pos="4252" w:leader="none"/>
          <w:tab w:val="left" w:pos="5823" w:leader="none"/>
        </w:tabs>
        <w:spacing w:before="0" w:after="0"/>
        <w:jc w:val="center"/>
        <w:rPr/>
      </w:pPr>
      <w:r>
        <w:rPr>
          <w:rFonts w:cs="Arial"/>
          <w:b/>
          <w:i w:val="false"/>
          <w:szCs w:val="20"/>
        </w:rPr>
        <w:t>EDITAL - COMPRA</w:t>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PREGÃO ELETRÔNICO </w:t>
      </w:r>
    </w:p>
    <w:p>
      <w:pPr>
        <w:pStyle w:val="Normal"/>
        <w:jc w:val="center"/>
        <w:rPr>
          <w:i w:val="false"/>
          <w:i w:val="false"/>
          <w:iCs w:val="false"/>
          <w:color w:val="00000A"/>
        </w:rPr>
      </w:pPr>
      <w:r>
        <w:rPr>
          <w:rFonts w:cs="Arial" w:ascii="Arial" w:hAnsi="Arial"/>
          <w:b/>
          <w:bCs/>
          <w:i w:val="false"/>
          <w:iCs w:val="false"/>
          <w:color w:val="00000A"/>
          <w:sz w:val="20"/>
          <w:szCs w:val="20"/>
        </w:rPr>
        <w:t xml:space="preserve">UNIVERSIDADE FEDERAL DE ALAGOAS </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pPr>
      <w:r>
        <w:rPr>
          <w:rFonts w:cs="Arial" w:ascii="Arial" w:hAnsi="Arial"/>
          <w:b/>
          <w:bCs/>
          <w:color w:val="000000"/>
          <w:sz w:val="20"/>
          <w:szCs w:val="20"/>
        </w:rPr>
        <w:t>PREGÃO ELETRÔNICO Nº 10/2019</w:t>
      </w:r>
    </w:p>
    <w:p>
      <w:pPr>
        <w:pStyle w:val="Normal"/>
        <w:jc w:val="center"/>
        <w:rPr/>
      </w:pPr>
      <w:r>
        <w:rPr>
          <w:rFonts w:cs="Arial" w:ascii="Arial" w:hAnsi="Arial"/>
          <w:bCs/>
          <w:color w:val="000000"/>
          <w:sz w:val="20"/>
          <w:szCs w:val="20"/>
        </w:rPr>
        <w:t>(Processo Administrativo n° 23065.024114/2019-12)</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pPr>
      <w:r>
        <w:rPr>
          <w:rFonts w:cs="Arial" w:ascii="Arial" w:hAnsi="Arial"/>
          <w:color w:val="000000"/>
          <w:sz w:val="20"/>
          <w:szCs w:val="20"/>
        </w:rPr>
        <w:t xml:space="preserve">Torna-se público, para conhecimento dos interessados, que a Universidade Federal de Alagoas, por meio da </w:t>
      </w:r>
      <w:r>
        <w:rPr>
          <w:rFonts w:eastAsia="Arial" w:cs="Arial" w:ascii="Arial" w:hAnsi="Arial"/>
          <w:color w:val="000000"/>
          <w:sz w:val="20"/>
          <w:szCs w:val="20"/>
        </w:rPr>
        <w:t>Gerência de Compras e Licitação – CASS/PROGINST/UFAL</w:t>
      </w:r>
      <w:r>
        <w:rPr>
          <w:rFonts w:cs="Arial" w:ascii="Arial" w:hAnsi="Arial"/>
          <w:color w:val="000000"/>
          <w:sz w:val="20"/>
          <w:szCs w:val="20"/>
        </w:rPr>
        <w:t xml:space="preserve">, sediada </w:t>
      </w:r>
      <w:r>
        <w:rPr>
          <w:rFonts w:eastAsia="Arial" w:cs="Arial" w:ascii="Arial" w:hAnsi="Arial"/>
          <w:color w:val="000000"/>
          <w:sz w:val="20"/>
          <w:szCs w:val="20"/>
        </w:rPr>
        <w:t xml:space="preserve">na Av. Lourival de Melo Mota, S/N, Cidade Universitária, CEP </w:t>
      </w:r>
      <w:r>
        <w:rPr>
          <w:rFonts w:eastAsia="Arial" w:cs="Arial" w:ascii="Arial" w:hAnsi="Arial"/>
          <w:color w:val="000000"/>
          <w:sz w:val="20"/>
          <w:szCs w:val="20"/>
          <w:highlight w:val="white"/>
        </w:rPr>
        <w:t>57072-970</w:t>
      </w:r>
      <w:r>
        <w:rPr>
          <w:rFonts w:cs="Arial" w:ascii="Arial" w:hAnsi="Arial"/>
          <w:color w:val="000000"/>
          <w:sz w:val="20"/>
          <w:szCs w:val="20"/>
        </w:rPr>
        <w:t>, realizará licitação</w:t>
      </w:r>
      <w:r>
        <w:rPr>
          <w:rFonts w:cs="Arial" w:ascii="Arial" w:hAnsi="Arial"/>
          <w:b w:val="false"/>
          <w:bCs w:val="false"/>
          <w:i w:val="false"/>
          <w:iCs w:val="false"/>
          <w:color w:val="00000A"/>
          <w:sz w:val="20"/>
          <w:szCs w:val="20"/>
        </w:rPr>
        <w:t xml:space="preserve">, para registro de preços, na modalidade PREGÃO, na forma ELETRÔNICA, com critério de julgamento menor preço por item, nos termos da Lei nº 10.520, de 17 de julho de 2002, do Decreto nº 10.024, de 20 de setembro de 2019, </w:t>
      </w:r>
      <w:r>
        <w:rPr>
          <w:rFonts w:eastAsia="Times New Roman" w:cs="Arial" w:ascii="Arial" w:hAnsi="Arial"/>
          <w:b w:val="false"/>
          <w:bCs w:val="false"/>
          <w:i w:val="false"/>
          <w:iCs w:val="false"/>
          <w:color w:val="00000A"/>
          <w:sz w:val="20"/>
          <w:szCs w:val="20"/>
        </w:rPr>
        <w:t xml:space="preserve">do Decreto  nº 7.746, de 05 de junho de 2012, do Decreto nº 7892, de 23 de janeiro e 2013, </w:t>
      </w:r>
      <w:r>
        <w:rPr>
          <w:rFonts w:cs="Arial" w:ascii="Arial" w:hAnsi="Arial"/>
          <w:b w:val="false"/>
          <w:bCs w:val="false"/>
          <w:i w:val="false"/>
          <w:iCs w:val="false"/>
          <w:color w:val="00000A"/>
          <w:sz w:val="20"/>
          <w:szCs w:val="20"/>
        </w:rPr>
        <w:t xml:space="preserve"> </w:t>
      </w:r>
      <w:r>
        <w:rPr>
          <w:rFonts w:eastAsia="Times New Roman" w:cs="Arial" w:ascii="Arial" w:hAnsi="Arial"/>
          <w:b w:val="false"/>
          <w:bCs w:val="false"/>
          <w:i w:val="false"/>
          <w:iCs w:val="false"/>
          <w:color w:val="00000A"/>
          <w:sz w:val="20"/>
          <w:szCs w:val="20"/>
        </w:rPr>
        <w:t>da Instrução Normativa SLTI/MP  nº 01, de 19 de janeiro de 2010,</w:t>
      </w:r>
      <w:r>
        <w:rPr>
          <w:rFonts w:cs="Arial" w:ascii="Arial" w:hAnsi="Arial"/>
          <w:b w:val="false"/>
          <w:bCs w:val="false"/>
          <w:i w:val="false"/>
          <w:iCs w:val="false"/>
          <w:color w:val="00000A"/>
          <w:sz w:val="20"/>
          <w:szCs w:val="20"/>
        </w:rPr>
        <w:t xml:space="preserve"> da Instrução Normativa SEGES/MP nº 03, de 26 de abril, de 2018, da Lei Complementar n° 123, de 14 de dezembr</w:t>
      </w:r>
      <w:r>
        <w:rPr>
          <w:rFonts w:cs="Arial" w:ascii="Arial" w:hAnsi="Arial"/>
          <w:color w:val="000000"/>
          <w:sz w:val="20"/>
          <w:szCs w:val="20"/>
        </w:rPr>
        <w:t xml:space="preserve">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napToGrid w:val="false"/>
        <w:spacing w:lineRule="auto" w:line="276" w:before="0" w:after="120"/>
        <w:ind w:right="-30" w:hanging="0"/>
        <w:jc w:val="both"/>
        <w:rPr>
          <w:rFonts w:ascii="Arial" w:hAnsi="Arial" w:eastAsia="Arial" w:cs="Arial"/>
          <w:color w:val="000000" w:themeColor="text1"/>
          <w:sz w:val="20"/>
          <w:szCs w:val="20"/>
        </w:rPr>
      </w:pPr>
      <w:r>
        <w:rPr>
          <w:rFonts w:eastAsia="Arial" w:cs="Arial" w:ascii="Arial" w:hAnsi="Arial"/>
          <w:color w:val="000000" w:themeColor="text1"/>
          <w:sz w:val="20"/>
          <w:szCs w:val="20"/>
        </w:rPr>
      </w:r>
    </w:p>
    <w:p>
      <w:pPr>
        <w:pStyle w:val="Normal"/>
        <w:spacing w:lineRule="auto" w:line="276"/>
        <w:jc w:val="both"/>
        <w:rPr/>
      </w:pPr>
      <w:r>
        <w:rPr>
          <w:rFonts w:cs="Arial" w:ascii="Arial" w:hAnsi="Arial"/>
          <w:color w:val="000000"/>
          <w:sz w:val="20"/>
          <w:szCs w:val="20"/>
        </w:rPr>
        <w:t xml:space="preserve">Data da sessão: </w:t>
      </w:r>
      <w:r>
        <w:rPr>
          <w:rFonts w:cs="Arial" w:ascii="Arial" w:hAnsi="Arial"/>
          <w:color w:val="000000"/>
          <w:sz w:val="20"/>
          <w:szCs w:val="20"/>
        </w:rPr>
        <w:t>27/11/2019</w:t>
      </w:r>
    </w:p>
    <w:p>
      <w:pPr>
        <w:pStyle w:val="Normal"/>
        <w:spacing w:lineRule="auto" w:line="276"/>
        <w:rPr/>
      </w:pPr>
      <w:r>
        <w:rPr>
          <w:rFonts w:cs="Arial" w:ascii="Arial" w:hAnsi="Arial"/>
          <w:color w:val="000000"/>
          <w:sz w:val="20"/>
          <w:szCs w:val="20"/>
        </w:rPr>
        <w:t xml:space="preserve">Horário: </w:t>
      </w:r>
      <w:r>
        <w:rPr>
          <w:rFonts w:cs="Arial" w:ascii="Arial" w:hAnsi="Arial"/>
          <w:color w:val="000000"/>
          <w:sz w:val="20"/>
          <w:szCs w:val="20"/>
        </w:rPr>
        <w:t>14h00</w:t>
      </w:r>
    </w:p>
    <w:p>
      <w:pPr>
        <w:pStyle w:val="Normal"/>
        <w:spacing w:lineRule="auto" w:line="276"/>
        <w:rPr/>
      </w:pPr>
      <w:r>
        <w:rPr>
          <w:rFonts w:cs="Arial" w:ascii="Arial" w:hAnsi="Arial"/>
          <w:color w:val="000000"/>
          <w:sz w:val="20"/>
          <w:szCs w:val="20"/>
        </w:rPr>
        <w:t xml:space="preserve">Local: Portal de Compras do Governo Federal – www.comprasgovernamentais.gov.br </w:t>
      </w:r>
    </w:p>
    <w:p>
      <w:pPr>
        <w:pStyle w:val="Normal"/>
        <w:spacing w:lineRule="auto" w:line="276"/>
        <w:rPr>
          <w:rFonts w:ascii="Arial" w:hAnsi="Arial" w:cs="Arial"/>
          <w:color w:val="000000"/>
          <w:sz w:val="20"/>
          <w:szCs w:val="20"/>
        </w:rPr>
      </w:pPr>
      <w:r>
        <w:rPr>
          <w:rFonts w:cs="Arial" w:ascii="Arial" w:hAnsi="Arial"/>
          <w:color w:val="000000"/>
          <w:sz w:val="20"/>
          <w:szCs w:val="20"/>
        </w:rPr>
      </w:r>
    </w:p>
    <w:p>
      <w:pPr>
        <w:pStyle w:val="Nivel01"/>
        <w:numPr>
          <w:ilvl w:val="0"/>
          <w:numId w:val="4"/>
        </w:numPr>
        <w:rPr>
          <w:rFonts w:ascii="Arial" w:hAnsi="Arial" w:cs="Arial"/>
        </w:rPr>
      </w:pPr>
      <w:r>
        <w:rPr>
          <w:rFonts w:cs="Arial" w:ascii="Arial" w:hAnsi="Arial"/>
        </w:rPr>
        <w:t>DO OBJETO</w:t>
      </w:r>
    </w:p>
    <w:p>
      <w:pPr>
        <w:pStyle w:val="Normal"/>
        <w:numPr>
          <w:ilvl w:val="1"/>
          <w:numId w:val="1"/>
        </w:numPr>
        <w:spacing w:lineRule="auto" w:line="276" w:before="120" w:after="120"/>
        <w:ind w:left="425" w:hanging="0"/>
        <w:jc w:val="both"/>
        <w:rPr/>
      </w:pPr>
      <w:r>
        <w:rPr>
          <w:rFonts w:cs="Arial" w:ascii="Arial" w:hAnsi="Arial"/>
          <w:color w:val="000000"/>
          <w:sz w:val="20"/>
          <w:szCs w:val="20"/>
        </w:rPr>
        <w:t xml:space="preserve">O objeto da presente licitação é a escolha da proposta mais vantajosa para a aquisição de </w:t>
      </w:r>
      <w:r>
        <w:rPr>
          <w:rFonts w:cs="Arial" w:ascii="Arial" w:hAnsi="Arial"/>
          <w:color w:val="000000"/>
          <w:sz w:val="20"/>
          <w:szCs w:val="20"/>
          <w:lang w:eastAsia="pt-BR"/>
        </w:rPr>
        <w:t>material de consumo e permanente para laboratórios da UFAL</w:t>
      </w:r>
      <w:r>
        <w:rPr>
          <w:rFonts w:cs="Arial" w:ascii="Arial" w:hAnsi="Arial"/>
          <w:b/>
          <w:color w:val="000000"/>
          <w:sz w:val="20"/>
          <w:szCs w:val="20"/>
          <w:lang w:eastAsia="pt-BR"/>
        </w:rPr>
        <w:t>,</w:t>
      </w:r>
      <w:r>
        <w:rPr>
          <w:rFonts w:cs="Arial" w:ascii="Arial" w:hAnsi="Arial"/>
          <w:color w:val="000000"/>
          <w:sz w:val="20"/>
          <w:szCs w:val="20"/>
        </w:rPr>
        <w:t xml:space="preserve"> conforme condições, quantidades e exigências estabelecidas neste Edital e seus anexos.</w:t>
      </w:r>
    </w:p>
    <w:p>
      <w:pPr>
        <w:pStyle w:val="Normal"/>
        <w:numPr>
          <w:ilvl w:val="1"/>
          <w:numId w:val="1"/>
        </w:numPr>
        <w:spacing w:lineRule="auto" w:line="276" w:before="120" w:after="120"/>
        <w:ind w:left="425" w:hanging="0"/>
        <w:jc w:val="both"/>
        <w:rPr>
          <w:rFonts w:ascii="Arial" w:hAnsi="Arial" w:cs="Arial"/>
          <w:color w:val="FF0000"/>
          <w:sz w:val="20"/>
          <w:szCs w:val="20"/>
        </w:rPr>
      </w:pPr>
      <w:r>
        <w:rPr>
          <w:rFonts w:cs="Arial" w:ascii="Arial" w:hAnsi="Arial"/>
          <w:i w:val="false"/>
          <w:iCs w:val="false"/>
          <w:color w:val="000000"/>
          <w:sz w:val="20"/>
          <w:szCs w:val="20"/>
          <w:lang w:eastAsia="pt-BR"/>
        </w:rPr>
        <w:t>A licitação será dividida em itens</w:t>
      </w:r>
      <w:r>
        <w:rPr>
          <w:rFonts w:cs="Arial" w:ascii="Arial" w:hAnsi="Arial"/>
          <w:b/>
          <w:i w:val="false"/>
          <w:iCs w:val="false"/>
          <w:color w:val="000000"/>
          <w:sz w:val="20"/>
          <w:szCs w:val="20"/>
          <w:lang w:eastAsia="pt-BR"/>
        </w:rPr>
        <w:t>,</w:t>
      </w:r>
      <w:r>
        <w:rPr>
          <w:rFonts w:cs="Arial" w:ascii="Arial" w:hAnsi="Arial"/>
          <w:i w:val="false"/>
          <w:iCs w:val="false"/>
          <w:color w:val="000000"/>
          <w:sz w:val="20"/>
          <w:szCs w:val="20"/>
          <w:lang w:eastAsia="pt-BR"/>
        </w:rPr>
        <w:t xml:space="preserve"> conforme tabela constante do Termo de Referência, facultando-se ao licitante a participação em quantos itens forem de seu interesse.</w:t>
      </w:r>
      <w:r>
        <w:rPr>
          <w:rFonts w:cs="Arial" w:ascii="Arial" w:hAnsi="Arial"/>
          <w:b/>
          <w:i w:val="false"/>
          <w:iCs w:val="false"/>
          <w:color w:val="000000"/>
          <w:sz w:val="20"/>
          <w:szCs w:val="20"/>
          <w:lang w:eastAsia="pt-BR"/>
        </w:rPr>
        <w:t xml:space="preserve"> </w:t>
      </w:r>
    </w:p>
    <w:p>
      <w:pPr>
        <w:pStyle w:val="PADRO"/>
        <w:keepNext/>
        <w:widowControl/>
        <w:numPr>
          <w:ilvl w:val="1"/>
          <w:numId w:val="1"/>
        </w:numPr>
        <w:shd w:val="clear" w:color="auto" w:fill="auto"/>
        <w:spacing w:before="120" w:after="120"/>
        <w:rPr>
          <w:rFonts w:ascii="Arial" w:hAnsi="Arial" w:cs="Arial"/>
          <w:i w:val="false"/>
          <w:i w:val="false"/>
          <w:iCs w:val="false"/>
          <w:color w:val="000000"/>
          <w:sz w:val="20"/>
          <w:szCs w:val="20"/>
          <w:lang w:eastAsia="pt-BR"/>
        </w:rPr>
      </w:pPr>
      <w:r>
        <w:rPr>
          <w:rFonts w:cs="Arial" w:ascii="Arial" w:hAnsi="Arial"/>
          <w:i w:val="false"/>
          <w:iCs w:val="false"/>
          <w:color w:val="000000"/>
          <w:sz w:val="20"/>
          <w:szCs w:val="20"/>
          <w:lang w:eastAsia="pt-BR"/>
        </w:rPr>
        <w:t xml:space="preserve">O critério de julgamento adotado será o menor preço do item, observadas as exigências contidas neste Edital e seus Anexos quanto às especificações do objeto. </w:t>
      </w:r>
    </w:p>
    <w:p>
      <w:pPr>
        <w:pStyle w:val="Nivel01"/>
        <w:numPr>
          <w:ilvl w:val="0"/>
          <w:numId w:val="0"/>
        </w:numPr>
        <w:rPr>
          <w:rFonts w:ascii="Arial" w:hAnsi="Arial" w:cs="Arial"/>
          <w:color w:val="FF0000"/>
          <w:highlight w:val="cyan"/>
          <w:u w:val="single"/>
        </w:rPr>
      </w:pPr>
      <w:r>
        <w:rPr>
          <w:rFonts w:cs="Arial" w:ascii="Arial" w:hAnsi="Arial"/>
          <w:color w:val="FF0000"/>
          <w:highlight w:val="cyan"/>
          <w:u w:val="single"/>
        </w:rPr>
      </w:r>
    </w:p>
    <w:p>
      <w:pPr>
        <w:pStyle w:val="Normal"/>
        <w:rPr>
          <w:rFonts w:ascii="Arial" w:hAnsi="Arial" w:cs="Arial"/>
          <w:i w:val="false"/>
          <w:i w:val="false"/>
          <w:iCs w:val="false"/>
          <w:color w:val="00000A"/>
          <w:sz w:val="20"/>
          <w:szCs w:val="20"/>
        </w:rPr>
      </w:pPr>
      <w:r>
        <w:rPr>
          <w:rFonts w:cs="Arial" w:ascii="Arial" w:hAnsi="Arial"/>
          <w:i w:val="false"/>
          <w:iCs w:val="false"/>
          <w:color w:val="00000A"/>
          <w:sz w:val="20"/>
          <w:szCs w:val="20"/>
        </w:rPr>
      </w:r>
    </w:p>
    <w:p>
      <w:pPr>
        <w:pStyle w:val="Normal"/>
        <w:rPr>
          <w:rFonts w:ascii="Arial" w:hAnsi="Arial" w:cs="Arial"/>
          <w:b/>
          <w:b/>
          <w:i/>
          <w:i/>
          <w:color w:val="FF0000"/>
          <w:sz w:val="20"/>
          <w:szCs w:val="20"/>
          <w:highlight w:val="cyan"/>
        </w:rPr>
      </w:pPr>
      <w:r>
        <w:rPr>
          <w:rFonts w:cs="Arial" w:ascii="Arial" w:hAnsi="Arial"/>
          <w:b/>
          <w:i w:val="false"/>
          <w:iCs w:val="false"/>
          <w:color w:val="00000A"/>
          <w:sz w:val="20"/>
          <w:szCs w:val="20"/>
        </w:rPr>
        <w:t xml:space="preserve">2.  DO REGISTRO DE PREÇOS </w:t>
      </w:r>
    </w:p>
    <w:p>
      <w:pPr>
        <w:pStyle w:val="Normal"/>
        <w:rPr>
          <w:rFonts w:ascii="Arial" w:hAnsi="Arial" w:cs="Arial"/>
          <w:b/>
          <w:b/>
          <w:i w:val="false"/>
          <w:i w:val="false"/>
          <w:iCs w:val="false"/>
          <w:color w:val="00000A"/>
          <w:sz w:val="20"/>
          <w:szCs w:val="20"/>
        </w:rPr>
      </w:pPr>
      <w:r>
        <w:rPr>
          <w:rFonts w:cs="Arial" w:ascii="Arial" w:hAnsi="Arial"/>
          <w:b/>
          <w:i w:val="false"/>
          <w:iCs w:val="false"/>
          <w:color w:val="00000A"/>
          <w:sz w:val="20"/>
          <w:szCs w:val="20"/>
        </w:rPr>
      </w:r>
    </w:p>
    <w:p>
      <w:pPr>
        <w:pStyle w:val="Normal"/>
        <w:numPr>
          <w:ilvl w:val="1"/>
          <w:numId w:val="2"/>
        </w:numPr>
        <w:spacing w:lineRule="auto" w:line="276" w:before="120" w:after="120"/>
        <w:ind w:left="1141" w:hanging="432"/>
        <w:jc w:val="both"/>
        <w:rPr>
          <w:rFonts w:ascii="Arial" w:hAnsi="Arial" w:cs="Arial"/>
          <w:i/>
          <w:i/>
          <w:color w:val="FF0000"/>
          <w:sz w:val="20"/>
          <w:szCs w:val="20"/>
          <w:highlight w:val="cyan"/>
        </w:rPr>
      </w:pPr>
      <w:r>
        <w:rPr>
          <w:rFonts w:cs="Arial" w:ascii="Arial" w:hAnsi="Arial"/>
          <w:i w:val="false"/>
          <w:iCs w:val="false"/>
          <w:color w:val="00000A"/>
          <w:sz w:val="20"/>
          <w:szCs w:val="20"/>
        </w:rPr>
        <w:t>As regras referentes aos órgãos gerenciador e participantes, bem como a eventuais adesões são as que constam da minuta de Ata de Registro de Preços</w:t>
      </w:r>
    </w:p>
    <w:p>
      <w:pPr>
        <w:pStyle w:val="Normal"/>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numPr>
          <w:ilvl w:val="0"/>
          <w:numId w:val="0"/>
        </w:numPr>
        <w:ind w:left="360" w:hanging="0"/>
        <w:rPr>
          <w:rFonts w:ascii="Arial" w:hAnsi="Arial" w:cs="Arial"/>
        </w:rPr>
      </w:pPr>
      <w:r>
        <w:rPr>
          <w:rFonts w:cs="Arial" w:ascii="Arial" w:hAnsi="Arial"/>
        </w:rPr>
        <w:t>3. DO CREDENCIAMENTO</w:t>
      </w:r>
    </w:p>
    <w:p>
      <w:pPr>
        <w:pStyle w:val="Normal"/>
        <w:numPr>
          <w:ilvl w:val="0"/>
          <w:numId w:val="0"/>
        </w:numPr>
        <w:spacing w:lineRule="auto" w:line="276" w:before="120" w:after="120"/>
        <w:ind w:left="1424" w:hanging="0"/>
        <w:jc w:val="both"/>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ListParagraph"/>
        <w:numPr>
          <w:ilvl w:val="0"/>
          <w:numId w:val="0"/>
        </w:numPr>
        <w:spacing w:lineRule="auto" w:line="276" w:before="120" w:after="120"/>
        <w:ind w:left="999" w:hanging="0"/>
        <w:contextualSpacing/>
        <w:jc w:val="both"/>
        <w:rPr/>
      </w:pPr>
      <w:r>
        <w:rPr>
          <w:rFonts w:cs="Arial" w:ascii="Arial" w:hAnsi="Arial"/>
          <w:color w:val="000000" w:themeColor="text1"/>
          <w:sz w:val="20"/>
          <w:szCs w:val="20"/>
        </w:rPr>
        <w:t xml:space="preserve">3.2 O cadastro no SICAF deverá ser feito no Portal de Compras do Governo Federal, no sítio </w:t>
      </w:r>
      <w:hyperlink r:id="rId2">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3.3 O credenciamento junto ao provedor do sistema implica a responsabilidade do licitante ou de seu representante legal e a presunção de sua capacidade técnica para realização das transações inerentes a este Pregão.</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3.5.1 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numPr>
          <w:ilvl w:val="0"/>
          <w:numId w:val="0"/>
        </w:numPr>
        <w:ind w:left="360" w:hanging="0"/>
        <w:rPr>
          <w:rFonts w:ascii="Arial" w:hAnsi="Arial" w:cs="Arial"/>
        </w:rPr>
      </w:pPr>
      <w:r>
        <w:rPr>
          <w:rFonts w:cs="Arial" w:ascii="Arial" w:hAnsi="Arial"/>
        </w:rPr>
        <w:t>4. DA PARTICIPAÇÃO NO PREGÃO.</w:t>
      </w:r>
    </w:p>
    <w:p>
      <w:pPr>
        <w:pStyle w:val="Normal"/>
        <w:numPr>
          <w:ilvl w:val="0"/>
          <w:numId w:val="0"/>
        </w:numPr>
        <w:spacing w:lineRule="auto" w:line="276" w:before="120" w:after="120"/>
        <w:ind w:left="1424" w:hanging="0"/>
        <w:jc w:val="both"/>
        <w:rPr>
          <w:rFonts w:ascii="Arial" w:hAnsi="Arial" w:cs="Arial"/>
          <w:bCs/>
          <w:i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numPr>
          <w:ilvl w:val="0"/>
          <w:numId w:val="0"/>
        </w:numPr>
        <w:spacing w:lineRule="auto" w:line="276" w:before="120" w:after="120"/>
        <w:ind w:left="1638" w:hanging="0"/>
        <w:jc w:val="both"/>
        <w:rPr/>
      </w:pPr>
      <w:r>
        <w:rPr>
          <w:rFonts w:cs="Arial" w:ascii="Arial" w:hAnsi="Arial"/>
          <w:color w:val="000000"/>
          <w:sz w:val="20"/>
          <w:szCs w:val="20"/>
        </w:rPr>
        <w:t>4.1.1 Os licitantes deverão utilizar o certificado digital para acesso ao Sistema.</w:t>
      </w:r>
    </w:p>
    <w:p>
      <w:pPr>
        <w:pStyle w:val="Normal"/>
        <w:numPr>
          <w:ilvl w:val="0"/>
          <w:numId w:val="0"/>
        </w:numPr>
        <w:spacing w:lineRule="auto" w:line="276" w:before="120" w:after="120"/>
        <w:ind w:left="1424" w:hanging="0"/>
        <w:jc w:val="both"/>
        <w:rPr/>
      </w:pPr>
      <w:r>
        <w:rPr>
          <w:rFonts w:cs="Arial" w:ascii="Arial" w:hAnsi="Arial"/>
          <w:bCs/>
          <w:iCs/>
          <w:color w:val="000000"/>
          <w:sz w:val="20"/>
          <w:szCs w:val="20"/>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0"/>
          <w:numId w:val="0"/>
        </w:numPr>
        <w:snapToGrid w:val="false"/>
        <w:spacing w:lineRule="auto" w:line="276" w:before="120" w:after="120"/>
        <w:ind w:left="1424" w:hanging="0"/>
        <w:jc w:val="both"/>
        <w:rPr/>
      </w:pPr>
      <w:r>
        <w:rPr>
          <w:rFonts w:cs="Arial" w:ascii="Arial" w:hAnsi="Arial"/>
          <w:bCs/>
          <w:color w:val="000000"/>
          <w:sz w:val="20"/>
          <w:szCs w:val="20"/>
        </w:rPr>
        <w:t>4.3 Não poderão participar desta licitação os interessados: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sz w:val="20"/>
          <w:szCs w:val="20"/>
        </w:rPr>
      </w:pPr>
      <w:r>
        <w:rPr>
          <w:rFonts w:cs="Arial" w:ascii="Arial" w:hAnsi="Arial"/>
          <w:bCs/>
          <w:sz w:val="20"/>
          <w:szCs w:val="20"/>
        </w:rPr>
        <w:t>4.3.1 proibidos de participar de licitações e celebrar contratos administrativos, na forma da legislação vigente;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sz w:val="20"/>
          <w:szCs w:val="20"/>
        </w:rPr>
      </w:pPr>
      <w:r>
        <w:rPr>
          <w:rFonts w:cs="Arial" w:ascii="Arial" w:hAnsi="Arial"/>
          <w:bCs/>
          <w:sz w:val="20"/>
          <w:szCs w:val="20"/>
        </w:rPr>
        <w:t>4.3.2 que não atendam às condições deste Edital e seu(s) anexo(s);</w:t>
      </w:r>
    </w:p>
    <w:p>
      <w:pPr>
        <w:pStyle w:val="Normal"/>
        <w:numPr>
          <w:ilvl w:val="0"/>
          <w:numId w:val="0"/>
        </w:numPr>
        <w:tabs>
          <w:tab w:val="left" w:pos="1440" w:leader="none"/>
        </w:tabs>
        <w:snapToGrid w:val="false"/>
        <w:spacing w:lineRule="auto" w:line="276" w:before="120" w:after="120"/>
        <w:ind w:left="2772" w:hanging="0"/>
        <w:jc w:val="both"/>
        <w:rPr>
          <w:rFonts w:ascii="Arial" w:hAnsi="Arial" w:eastAsia="Zurich BT" w:cs="Arial"/>
          <w:bCs/>
          <w:color w:val="000000"/>
          <w:sz w:val="20"/>
          <w:szCs w:val="20"/>
        </w:rPr>
      </w:pPr>
      <w:r>
        <w:rPr>
          <w:rFonts w:cs="Arial" w:ascii="Arial" w:hAnsi="Arial"/>
          <w:bCs/>
          <w:color w:val="000000"/>
          <w:sz w:val="20"/>
          <w:szCs w:val="20"/>
        </w:rPr>
        <w:t>4.3.3 estrangeiros que não tenham representação legal no Brasil com poderes expressos para receber citação e responder administrativa ou judicialmente;</w:t>
      </w:r>
    </w:p>
    <w:p>
      <w:pPr>
        <w:pStyle w:val="Normal"/>
        <w:numPr>
          <w:ilvl w:val="0"/>
          <w:numId w:val="0"/>
        </w:numPr>
        <w:tabs>
          <w:tab w:val="left" w:pos="1440" w:leader="none"/>
        </w:tabs>
        <w:snapToGrid w:val="false"/>
        <w:spacing w:lineRule="auto" w:line="276" w:before="120" w:after="120"/>
        <w:ind w:left="2772" w:hanging="0"/>
        <w:jc w:val="both"/>
        <w:rPr>
          <w:rFonts w:ascii="Arial" w:hAnsi="Arial" w:eastAsia="Zurich BT" w:cs="Arial"/>
          <w:bCs/>
          <w:color w:val="000000"/>
          <w:sz w:val="20"/>
          <w:szCs w:val="20"/>
        </w:rPr>
      </w:pPr>
      <w:r>
        <w:rPr>
          <w:rFonts w:eastAsia="Arial Unicode MS" w:cs="Arial" w:ascii="Arial" w:hAnsi="Arial"/>
          <w:color w:val="000000"/>
          <w:sz w:val="20"/>
          <w:szCs w:val="20"/>
        </w:rPr>
        <w:t>4.3.4 que se enquadrem nas vedações previstas no artigo 9º da Lei nº 8.666, de 1993;</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 xml:space="preserve">4.3.5 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sz w:val="20"/>
          <w:szCs w:val="20"/>
        </w:rPr>
        <w:t>4.3.6 entidades empresariais que estejam reunidas em consórcio;</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4.3.7 Organizações da Sociedade Civil de Interesse Público - OSCIP, atuando nessa condição (Acórdão nº 746/2014-TCU-Plenário).</w:t>
      </w:r>
    </w:p>
    <w:p>
      <w:pPr>
        <w:pStyle w:val="Normal"/>
        <w:tabs>
          <w:tab w:val="left" w:pos="1440" w:leader="none"/>
        </w:tabs>
        <w:snapToGrid w:val="false"/>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snapToGrid w:val="false"/>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4.4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Cs/>
          <w:color w:val="000000"/>
          <w:sz w:val="20"/>
          <w:szCs w:val="20"/>
        </w:rPr>
        <w:t xml:space="preserve">4.4.1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numPr>
          <w:ilvl w:val="0"/>
          <w:numId w:val="0"/>
        </w:numPr>
        <w:tabs>
          <w:tab w:val="left" w:pos="1440" w:leader="none"/>
        </w:tabs>
        <w:snapToGrid w:val="false"/>
        <w:spacing w:lineRule="auto" w:line="276" w:before="120" w:after="120"/>
        <w:ind w:left="2491" w:hanging="0"/>
        <w:jc w:val="both"/>
        <w:rPr>
          <w:rFonts w:ascii="Arial" w:hAnsi="Arial" w:cs="Arial"/>
          <w:bCs/>
          <w:color w:val="000000"/>
          <w:sz w:val="20"/>
          <w:szCs w:val="20"/>
        </w:rPr>
      </w:pPr>
      <w:r>
        <w:rPr>
          <w:rFonts w:cs="Arial" w:ascii="Arial" w:hAnsi="Arial"/>
          <w:bCs/>
          <w:color w:val="000000"/>
          <w:sz w:val="20"/>
          <w:szCs w:val="20"/>
        </w:rPr>
        <w:t>4.4.1.1 nos itens exclusivos para participação de microempresas e empresas de pequeno porte, a assinalação do campo “não” impedirá o prosseguimento no certame;</w:t>
      </w:r>
    </w:p>
    <w:p>
      <w:pPr>
        <w:pStyle w:val="Normal"/>
        <w:numPr>
          <w:ilvl w:val="0"/>
          <w:numId w:val="0"/>
        </w:numPr>
        <w:tabs>
          <w:tab w:val="left" w:pos="1440" w:leader="none"/>
        </w:tabs>
        <w:snapToGrid w:val="false"/>
        <w:spacing w:lineRule="auto" w:line="276" w:before="120" w:after="120"/>
        <w:ind w:left="2491" w:hanging="0"/>
        <w:jc w:val="both"/>
        <w:rPr>
          <w:rFonts w:ascii="Arial" w:hAnsi="Arial" w:cs="Arial"/>
          <w:bCs/>
          <w:color w:val="000000"/>
          <w:sz w:val="20"/>
          <w:szCs w:val="20"/>
        </w:rPr>
      </w:pPr>
      <w:r>
        <w:rPr>
          <w:rFonts w:cs="Arial" w:ascii="Arial" w:hAnsi="Arial"/>
          <w:bCs/>
          <w:color w:val="000000"/>
          <w:sz w:val="20"/>
          <w:szCs w:val="20"/>
        </w:rPr>
        <w:t>4.4.1.2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highlight w:val="yellow"/>
        </w:rPr>
      </w:pPr>
      <w:r>
        <w:rPr>
          <w:rFonts w:cs="Arial" w:ascii="Arial" w:hAnsi="Arial"/>
          <w:bCs/>
          <w:color w:val="000000"/>
          <w:sz w:val="20"/>
          <w:szCs w:val="20"/>
        </w:rPr>
        <w:t>4.4.2 que está ciente e concorda com as condições contidas no Edital e seus anexos;</w:t>
      </w:r>
    </w:p>
    <w:p>
      <w:pPr>
        <w:pStyle w:val="ListParagraph"/>
        <w:numPr>
          <w:ilvl w:val="0"/>
          <w:numId w:val="0"/>
        </w:numPr>
        <w:tabs>
          <w:tab w:val="left" w:pos="1440" w:leader="none"/>
        </w:tabs>
        <w:snapToGrid w:val="false"/>
        <w:spacing w:lineRule="auto" w:line="276" w:before="120" w:after="120"/>
        <w:ind w:left="2358" w:hanging="0"/>
        <w:contextualSpacing/>
        <w:jc w:val="both"/>
        <w:rPr/>
      </w:pPr>
      <w:r>
        <w:rPr>
          <w:rFonts w:cs="Arial" w:ascii="Arial" w:hAnsi="Arial"/>
          <w:color w:val="000000" w:themeColor="text1"/>
          <w:sz w:val="20"/>
          <w:szCs w:val="20"/>
        </w:rPr>
        <w:t xml:space="preserve">4.4.3 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4.4.4 que inexistem fatos impeditivos para sua habilitação no certame, ciente da obrigatoriedade de declarar ocorrências posteriores;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4.4.5 que não emprega menor de 18 anos em trabalho noturno, perigoso ou insalubre e não emprega menor de 16 anos, salvo menor, a partir de 14 anos, na condição de aprendiz, nos termos do artigo 7°, XXXIII, da Constituição;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4.4.6 que a proposta foi elaborada de forma independente, nos termos da Instrução Normativa SLTI/MP nº 2, de 16 de setembro de 2009.</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4.4.7 que não possui, em sua cadeia produtiva, empregados executando trabalho degradante ou forçado, observando o disposto nos incisos III e IV do art. 1º e no inciso III do art. 5º da Constituição Federal;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FF0000"/>
          <w:sz w:val="20"/>
          <w:szCs w:val="20"/>
        </w:rPr>
      </w:pPr>
      <w:r>
        <w:rPr>
          <w:rFonts w:cs="Arial" w:ascii="Arial" w:hAnsi="Arial"/>
          <w:bCs/>
          <w:color w:val="000000"/>
          <w:sz w:val="20"/>
          <w:szCs w:val="20"/>
        </w:rPr>
        <w:t xml:space="preserve">4.4.8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color w:val="FF0000"/>
          <w:sz w:val="20"/>
          <w:szCs w:val="20"/>
        </w:rPr>
      </w:pPr>
      <w:r>
        <w:rPr>
          <w:rFonts w:cs="Arial" w:ascii="Arial" w:hAnsi="Arial"/>
          <w:bCs/>
          <w:color w:val="00000A"/>
          <w:sz w:val="20"/>
          <w:szCs w:val="20"/>
        </w:rPr>
        <w:t>que cumpre os requisitos do Decreto n. 7.174, de 2010, estando apto a usufruir dos critérios de preferência.</w:t>
      </w:r>
    </w:p>
    <w:p>
      <w:pPr>
        <w:pStyle w:val="Normal"/>
        <w:numPr>
          <w:ilvl w:val="0"/>
          <w:numId w:val="0"/>
        </w:numPr>
        <w:snapToGrid w:val="false"/>
        <w:spacing w:lineRule="auto" w:line="276" w:before="120" w:after="120"/>
        <w:ind w:left="1424" w:hanging="0"/>
        <w:jc w:val="both"/>
        <w:rPr/>
      </w:pPr>
      <w:r>
        <w:rPr>
          <w:rFonts w:cs="Arial" w:ascii="Arial" w:hAnsi="Arial"/>
          <w:i w:val="false"/>
          <w:iCs w:val="false"/>
          <w:color w:val="00000A"/>
          <w:sz w:val="20"/>
          <w:szCs w:val="20"/>
        </w:rPr>
        <w:t xml:space="preserve">4.5 </w:t>
      </w:r>
      <w:r>
        <w:rPr>
          <w:rFonts w:cs="Arial" w:ascii="Arial" w:hAnsi="Arial"/>
          <w:color w:val="00000A"/>
          <w:sz w:val="20"/>
          <w:szCs w:val="20"/>
        </w:rPr>
        <w:t>A declaração falsa relativa ao cumprime</w:t>
      </w:r>
      <w:r>
        <w:rPr>
          <w:rFonts w:cs="Arial" w:ascii="Arial" w:hAnsi="Arial"/>
          <w:color w:val="000000"/>
          <w:sz w:val="20"/>
          <w:szCs w:val="20"/>
        </w:rPr>
        <w:t>nto de qualquer condição sujeitará o licitante às sanções previstas em lei e neste Edital.</w:t>
      </w:r>
    </w:p>
    <w:p>
      <w:pPr>
        <w:pStyle w:val="Normal"/>
        <w:numPr>
          <w:ilvl w:val="0"/>
          <w:numId w:val="0"/>
        </w:numPr>
        <w:snapToGrid w:val="false"/>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5. DA APRESENTAÇÃO DA PROPOSTA E DOS DOCUMENTOS DE HABILITAÇÃO</w:t>
      </w:r>
    </w:p>
    <w:p>
      <w:pPr>
        <w:pStyle w:val="Normal"/>
        <w:numPr>
          <w:ilvl w:val="0"/>
          <w:numId w:val="0"/>
        </w:numPr>
        <w:spacing w:lineRule="auto" w:line="276" w:before="120" w:after="120"/>
        <w:ind w:left="999" w:hanging="0"/>
        <w:jc w:val="both"/>
        <w:rPr>
          <w:rFonts w:ascii="Arial" w:hAnsi="Arial" w:cs="Arial"/>
          <w:color w:val="000000" w:themeColor="text1"/>
          <w:sz w:val="20"/>
          <w:szCs w:val="20"/>
          <w:highlight w:val="yellow"/>
        </w:rPr>
      </w:pPr>
      <w:r>
        <w:rPr>
          <w:rFonts w:cs="Arial" w:ascii="Arial" w:hAnsi="Arial"/>
          <w:color w:val="000000" w:themeColor="text1"/>
          <w:sz w:val="20"/>
          <w:szCs w:val="20"/>
        </w:rPr>
        <w:t xml:space="preserve">5.1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numPr>
          <w:ilvl w:val="0"/>
          <w:numId w:val="0"/>
        </w:numPr>
        <w:spacing w:lineRule="auto" w:line="276" w:before="120" w:after="120"/>
        <w:ind w:left="1424" w:hanging="0"/>
        <w:jc w:val="both"/>
        <w:rPr>
          <w:rFonts w:ascii="Arial" w:hAnsi="Arial" w:cs="Arial"/>
          <w:color w:val="000000" w:themeColor="text1"/>
          <w:sz w:val="20"/>
          <w:szCs w:val="20"/>
        </w:rPr>
      </w:pPr>
      <w:r>
        <w:rPr>
          <w:rFonts w:cs="Arial" w:ascii="Arial" w:hAnsi="Arial"/>
          <w:color w:val="000000"/>
          <w:sz w:val="20"/>
          <w:szCs w:val="20"/>
        </w:rPr>
        <w:t>5.2 O envio da proposta, acompanhada dos documentos de habilitação exigidos neste Edital, ocorrerá por meio de chave de acesso e senha.</w:t>
      </w:r>
    </w:p>
    <w:p>
      <w:pPr>
        <w:pStyle w:val="Normal"/>
        <w:numPr>
          <w:ilvl w:val="0"/>
          <w:numId w:val="0"/>
        </w:numPr>
        <w:spacing w:lineRule="auto" w:line="276" w:before="120" w:after="120"/>
        <w:ind w:left="1424" w:hanging="0"/>
        <w:jc w:val="both"/>
        <w:rPr>
          <w:rFonts w:ascii="Arial" w:hAnsi="Arial" w:cs="Arial"/>
          <w:color w:val="000000" w:themeColor="text1"/>
          <w:sz w:val="20"/>
          <w:szCs w:val="20"/>
          <w:highlight w:val="yellow"/>
        </w:rPr>
      </w:pPr>
      <w:r>
        <w:rPr>
          <w:rFonts w:cs="Arial" w:ascii="Arial" w:hAnsi="Arial"/>
          <w:color w:val="000000" w:themeColor="text1"/>
          <w:sz w:val="20"/>
          <w:szCs w:val="20"/>
        </w:rPr>
        <w:t>5.3 Os licitantes poderão deixar de apresentar os documentos de habilitação que constem do SICAF, assegurado aos demais licitantes o direito de acesso aos dados constantes dos sistemas.</w:t>
      </w:r>
    </w:p>
    <w:p>
      <w:pPr>
        <w:pStyle w:val="Normal"/>
        <w:numPr>
          <w:ilvl w:val="0"/>
          <w:numId w:val="0"/>
        </w:numPr>
        <w:spacing w:lineRule="auto" w:line="276" w:before="120" w:after="120"/>
        <w:ind w:left="1424" w:hanging="0"/>
        <w:jc w:val="both"/>
        <w:rPr>
          <w:rFonts w:ascii="Arial" w:hAnsi="Arial" w:cs="Arial"/>
          <w:color w:val="000000" w:themeColor="text1"/>
          <w:sz w:val="20"/>
          <w:szCs w:val="20"/>
        </w:rPr>
      </w:pPr>
      <w:r>
        <w:rPr>
          <w:rFonts w:eastAsia="Arial" w:cs="Arial" w:ascii="Arial" w:hAnsi="Arial"/>
          <w:sz w:val="20"/>
          <w:szCs w:val="20"/>
        </w:rPr>
        <w:t>5.4 As Microempresas e Empresas de Pequeno Porte deverão encaminhar a documentação de habilitação, ainda que haja alguma restrição de regularidade fiscal e trabalhista, nos termos do art. 43, § 1º da LC nº 123, de 2006.</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0"/>
          <w:numId w:val="0"/>
        </w:numPr>
        <w:spacing w:lineRule="auto" w:line="276" w:before="120" w:after="120"/>
        <w:ind w:left="999" w:hanging="0"/>
        <w:jc w:val="both"/>
        <w:rPr>
          <w:rFonts w:ascii="Arial" w:hAnsi="Arial" w:cs="Arial"/>
          <w:color w:val="000000" w:themeColor="text1"/>
          <w:sz w:val="20"/>
          <w:szCs w:val="20"/>
          <w:highlight w:val="yellow"/>
        </w:rPr>
      </w:pPr>
      <w:r>
        <w:rPr>
          <w:rFonts w:cs="Arial" w:ascii="Arial" w:hAnsi="Arial"/>
          <w:sz w:val="20"/>
          <w:szCs w:val="20"/>
        </w:rPr>
        <w:t xml:space="preserve">5.6 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numPr>
          <w:ilvl w:val="0"/>
          <w:numId w:val="0"/>
        </w:numPr>
        <w:spacing w:lineRule="auto" w:line="276" w:before="120" w:after="120"/>
        <w:ind w:left="999" w:hanging="0"/>
        <w:jc w:val="both"/>
        <w:rPr>
          <w:rFonts w:ascii="Arial" w:hAnsi="Arial" w:cs="Arial"/>
          <w:color w:val="000000" w:themeColor="text1"/>
          <w:sz w:val="20"/>
          <w:szCs w:val="20"/>
          <w:highlight w:val="yellow"/>
        </w:rPr>
      </w:pPr>
      <w:r>
        <w:rPr>
          <w:rFonts w:cs="Arial" w:ascii="Arial" w:hAnsi="Arial"/>
          <w:color w:val="000000"/>
          <w:sz w:val="20"/>
          <w:szCs w:val="20"/>
        </w:rPr>
        <w:t>5.7 Não será estabelecida, nessa etapa do certame, ordem de classificação entre as propostas apresentadas, o que somente ocorrerá após a realização dos procedimentos de negociação e julgamento da proposta.</w:t>
      </w:r>
    </w:p>
    <w:p>
      <w:pPr>
        <w:pStyle w:val="Normal"/>
        <w:numPr>
          <w:ilvl w:val="0"/>
          <w:numId w:val="0"/>
        </w:numPr>
        <w:spacing w:lineRule="auto" w:line="276" w:before="120" w:after="120"/>
        <w:ind w:left="999" w:hanging="0"/>
        <w:jc w:val="both"/>
        <w:rPr>
          <w:rFonts w:ascii="Arial" w:hAnsi="Arial" w:cs="Arial"/>
          <w:color w:val="000000" w:themeColor="text1"/>
          <w:sz w:val="20"/>
          <w:szCs w:val="20"/>
        </w:rPr>
      </w:pPr>
      <w:r>
        <w:rPr>
          <w:rFonts w:cs="Arial" w:ascii="Arial" w:hAnsi="Arial"/>
          <w:color w:val="000000" w:themeColor="text1"/>
          <w:sz w:val="20"/>
          <w:szCs w:val="20"/>
        </w:rPr>
        <w:t xml:space="preserve">5.8 Os documentos que compõem a proposta e a habilitação do licitante melhor classificado somente </w:t>
      </w:r>
      <w:r>
        <w:rPr>
          <w:rFonts w:cs="Arial" w:ascii="Arial" w:hAnsi="Arial"/>
          <w:color w:val="000000"/>
          <w:sz w:val="20"/>
          <w:szCs w:val="20"/>
        </w:rPr>
        <w:t>serão</w:t>
      </w:r>
      <w:r>
        <w:rPr>
          <w:rFonts w:cs="Arial" w:ascii="Arial" w:hAnsi="Arial"/>
          <w:color w:val="000000" w:themeColor="text1"/>
          <w:sz w:val="20"/>
          <w:szCs w:val="20"/>
        </w:rPr>
        <w:t xml:space="preserve"> disponibilizados para avaliação do pregoeiro e para acesso público após o encerramento do envio de lances.</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ivel01"/>
        <w:numPr>
          <w:ilvl w:val="0"/>
          <w:numId w:val="0"/>
        </w:numPr>
        <w:ind w:left="360" w:hanging="0"/>
        <w:rPr>
          <w:rFonts w:ascii="Arial" w:hAnsi="Arial" w:cs="Arial"/>
        </w:rPr>
      </w:pPr>
      <w:r>
        <w:rPr>
          <w:rFonts w:cs="Arial" w:ascii="Arial" w:hAnsi="Arial"/>
        </w:rPr>
        <w:t>6. DO PREENCHIMENTO DA PROPOSTA</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sz w:val="20"/>
          <w:szCs w:val="20"/>
        </w:rPr>
        <w:t>6.1 O licitante deverá enviar sua proposta mediante o preenchimento, no sistema eletrônico, dos seguintes campos:</w:t>
      </w:r>
    </w:p>
    <w:p>
      <w:pPr>
        <w:pStyle w:val="Normal"/>
        <w:numPr>
          <w:ilvl w:val="0"/>
          <w:numId w:val="0"/>
        </w:numPr>
        <w:tabs>
          <w:tab w:val="left" w:pos="1440" w:leader="none"/>
        </w:tabs>
        <w:snapToGrid w:val="false"/>
        <w:spacing w:lineRule="auto" w:line="276" w:before="120" w:after="120"/>
        <w:ind w:left="2772" w:hanging="0"/>
        <w:jc w:val="both"/>
        <w:rPr>
          <w:i w:val="false"/>
          <w:i w:val="false"/>
          <w:iCs w:val="false"/>
          <w:color w:val="00000A"/>
        </w:rPr>
      </w:pPr>
      <w:r>
        <w:rPr>
          <w:rFonts w:cs="Arial" w:ascii="Arial" w:hAnsi="Arial"/>
          <w:i w:val="false"/>
          <w:iCs w:val="false"/>
          <w:color w:val="00000A"/>
          <w:sz w:val="20"/>
          <w:szCs w:val="20"/>
        </w:rPr>
        <w:t xml:space="preserve">6.1.1 Valor unitário e total </w:t>
      </w:r>
      <w:r>
        <w:rPr>
          <w:rFonts w:cs="Arial" w:ascii="Arial" w:hAnsi="Arial"/>
          <w:bCs/>
          <w:i w:val="false"/>
          <w:iCs w:val="false"/>
          <w:color w:val="00000A"/>
          <w:sz w:val="20"/>
          <w:szCs w:val="20"/>
        </w:rPr>
        <w:t>do item;</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6.1.2 Marca;</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 xml:space="preserve">6.1.3 Fabricante; </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Cs/>
          <w:iCs/>
          <w:color w:val="000000"/>
          <w:sz w:val="20"/>
          <w:szCs w:val="20"/>
        </w:rPr>
        <w:t>6.1.4 Descrição detalhada do objeto, contendo as informações similares à especificação do Termo de Referência: indicando, no que for aplicável</w:t>
      </w:r>
      <w:r>
        <w:rPr>
          <w:rFonts w:cs="Arial" w:ascii="Arial" w:hAnsi="Arial"/>
          <w:color w:val="000000"/>
          <w:sz w:val="20"/>
          <w:szCs w:val="20"/>
        </w:rPr>
        <w:t xml:space="preserve">, </w:t>
      </w:r>
      <w:r>
        <w:rPr>
          <w:rFonts w:cs="Arial" w:ascii="Arial" w:hAnsi="Arial"/>
          <w:i w:val="false"/>
          <w:iCs w:val="false"/>
          <w:color w:val="00000A"/>
          <w:sz w:val="20"/>
          <w:szCs w:val="20"/>
        </w:rPr>
        <w:t xml:space="preserve">o modelo e prazo de validade ou de garantia; </w:t>
      </w:r>
    </w:p>
    <w:p>
      <w:pPr>
        <w:pStyle w:val="ListParagraph"/>
        <w:numPr>
          <w:ilvl w:val="0"/>
          <w:numId w:val="0"/>
        </w:numPr>
        <w:spacing w:lineRule="auto" w:line="276" w:before="120" w:after="120"/>
        <w:ind w:left="1424" w:hanging="0"/>
        <w:contextualSpacing/>
        <w:jc w:val="both"/>
        <w:rPr/>
      </w:pPr>
      <w:r>
        <w:rPr>
          <w:rFonts w:cs="Arial" w:ascii="Arial" w:hAnsi="Arial"/>
          <w:sz w:val="20"/>
          <w:szCs w:val="20"/>
        </w:rPr>
        <w:t>6.2 Todas as especificações do objeto contidas na proposta vinculam a Contratada.</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6.3 Nos valores propostos estarão inclusos todos os custos operacionais, encargos previdenciários, trabalhistas, tributários, comerciais e quaisquer outros que incidam direta ou indiretamente no fornecimento dos bens.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6.5 O prazo de validade da proposta não será inferior a 120</w:t>
      </w:r>
      <w:r>
        <w:rPr>
          <w:rFonts w:cs="Arial" w:ascii="Arial" w:hAnsi="Arial"/>
          <w:color w:val="00000A"/>
          <w:sz w:val="20"/>
          <w:szCs w:val="20"/>
        </w:rPr>
        <w:t xml:space="preserve"> </w:t>
      </w:r>
      <w:r>
        <w:rPr>
          <w:rFonts w:cs="Arial" w:ascii="Arial" w:hAnsi="Arial"/>
          <w:bCs/>
          <w:iCs/>
          <w:color w:val="00000A"/>
          <w:sz w:val="20"/>
          <w:szCs w:val="20"/>
        </w:rPr>
        <w:t>(cento e vinte)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0"/>
          <w:numId w:val="0"/>
        </w:numPr>
        <w:spacing w:lineRule="auto" w:line="276" w:before="120" w:after="120"/>
        <w:ind w:left="1424" w:hanging="0"/>
        <w:contextualSpacing/>
        <w:jc w:val="both"/>
        <w:rPr>
          <w:rFonts w:ascii="Arial" w:hAnsi="Arial" w:cs="Arial"/>
          <w:i/>
          <w:i/>
          <w:color w:val="FF0000"/>
          <w:sz w:val="20"/>
          <w:szCs w:val="20"/>
        </w:rPr>
      </w:pPr>
      <w:r>
        <w:rPr>
          <w:rFonts w:cs="Arial" w:ascii="Arial" w:hAnsi="Arial"/>
          <w:i/>
          <w:color w:val="FF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6.6.1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0"/>
        </w:numPr>
        <w:ind w:left="360" w:hanging="0"/>
        <w:rPr>
          <w:rFonts w:ascii="Arial" w:hAnsi="Arial" w:cs="Arial"/>
        </w:rPr>
      </w:pPr>
      <w:r>
        <w:rPr>
          <w:rFonts w:cs="Arial" w:ascii="Arial" w:hAnsi="Arial"/>
          <w:color w:val="00000A"/>
        </w:rPr>
        <w:t xml:space="preserve">7. DA ABERTURA DA SESSÃO, CLASSIFICAÇÃO DAS PROPOSTAS E FORMULAÇÃO DE LANCES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 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lang w:eastAsia="en-US"/>
        </w:rPr>
        <w:t>7.2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lang w:eastAsia="en-US"/>
        </w:rPr>
      </w:pPr>
      <w:r>
        <w:rPr>
          <w:rFonts w:cs="Arial" w:ascii="Arial" w:hAnsi="Arial"/>
          <w:color w:val="000000"/>
          <w:sz w:val="20"/>
          <w:szCs w:val="20"/>
          <w:lang w:eastAsia="en-US"/>
        </w:rPr>
        <w:t>7.2.1 Também será desclassificada a proposta que identifique o licitante.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lang w:eastAsia="en-US"/>
        </w:rPr>
      </w:pPr>
      <w:r>
        <w:rPr>
          <w:rFonts w:cs="Arial" w:ascii="Arial" w:hAnsi="Arial"/>
          <w:color w:val="000000"/>
          <w:sz w:val="20"/>
          <w:szCs w:val="20"/>
        </w:rPr>
        <w:t>7.2.2 A desclassificação será sempre fundamentada e registrada no sistema, com acompanhamento em tempo real por todos os participantes.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lang w:eastAsia="en-US"/>
        </w:rPr>
      </w:pPr>
      <w:r>
        <w:rPr>
          <w:rFonts w:cs="Arial" w:ascii="Arial" w:hAnsi="Arial"/>
          <w:color w:val="000000"/>
          <w:sz w:val="20"/>
          <w:szCs w:val="20"/>
        </w:rPr>
        <w:t>7.2.3 A não desclassificação da proposta não impede o seu julgamento definitivo em sentido contrário, levado a efeito na fase de aceitação.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7.3 O sistema ordenará automaticamente as propostas classificadas, sendo que somente estas participarão da fase de lances.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7.4 O sistema disponibilizará campo próprio para troca de mensagens entre o Pregoeiro e os licitantes.</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 xml:space="preserve">7.5 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numPr>
          <w:ilvl w:val="0"/>
          <w:numId w:val="0"/>
        </w:numPr>
        <w:tabs>
          <w:tab w:val="left" w:pos="1440" w:leader="none"/>
        </w:tabs>
        <w:snapToGrid w:val="false"/>
        <w:spacing w:lineRule="auto" w:line="276" w:before="120" w:after="120"/>
        <w:ind w:left="2772" w:hanging="0"/>
        <w:jc w:val="both"/>
        <w:rPr>
          <w:b w:val="false"/>
          <w:b w:val="false"/>
          <w:bCs w:val="false"/>
          <w:i w:val="false"/>
          <w:i w:val="false"/>
          <w:iCs w:val="false"/>
          <w:color w:val="00000A"/>
        </w:rPr>
      </w:pPr>
      <w:r>
        <w:rPr>
          <w:rFonts w:cs="Arial" w:ascii="Arial" w:hAnsi="Arial"/>
          <w:b w:val="false"/>
          <w:bCs w:val="false"/>
          <w:i w:val="false"/>
          <w:iCs w:val="false"/>
          <w:color w:val="00000A"/>
          <w:sz w:val="20"/>
          <w:szCs w:val="20"/>
        </w:rPr>
        <w:t>7.5.1 O lance deverá ser ofertado pelo valor unitário do item.</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7.6 Os licitantes poderão oferecer lances sucessivos, observando o horário fixado para abertura da sessão e as regras estabelecidas no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sz w:val="20"/>
          <w:szCs w:val="20"/>
        </w:rPr>
        <w:t>7.7 O licitante somente poderá oferecer lance de valor inferior ou percentual de desconto superior ao último por ele ofertado e registrado pelo sistema.</w:t>
      </w:r>
    </w:p>
    <w:p>
      <w:pPr>
        <w:pStyle w:val="ListParagraph"/>
        <w:numPr>
          <w:ilvl w:val="0"/>
          <w:numId w:val="0"/>
        </w:numPr>
        <w:spacing w:lineRule="auto" w:line="276" w:before="120" w:after="120"/>
        <w:ind w:left="1424" w:hanging="0"/>
        <w:contextualSpacing/>
        <w:jc w:val="both"/>
        <w:rPr/>
      </w:pPr>
      <w:r>
        <w:rPr>
          <w:rFonts w:cs="Arial" w:ascii="Arial" w:hAnsi="Arial"/>
          <w:color w:val="00000A"/>
          <w:sz w:val="20"/>
          <w:szCs w:val="20"/>
        </w:rPr>
        <w:t xml:space="preserve">7.8 </w:t>
      </w:r>
      <w:r>
        <w:rPr>
          <w:rFonts w:cs="Arial" w:ascii="Arial" w:hAnsi="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pPr>
        <w:pStyle w:val="Normal"/>
        <w:spacing w:lineRule="auto" w:line="276" w:before="120" w:after="120"/>
        <w:jc w:val="both"/>
        <w:rPr>
          <w:rFonts w:ascii="Arial" w:hAnsi="Arial" w:cs="Arial"/>
          <w:iCs/>
          <w:sz w:val="20"/>
          <w:szCs w:val="20"/>
        </w:rPr>
      </w:pPr>
      <w:r>
        <w:rPr>
          <w:rFonts w:cs="Arial" w:ascii="Arial" w:hAnsi="Arial"/>
          <w:iCs/>
          <w:sz w:val="20"/>
          <w:szCs w:val="20"/>
        </w:rPr>
      </w:r>
    </w:p>
    <w:p>
      <w:pPr>
        <w:pStyle w:val="Normal"/>
        <w:numPr>
          <w:ilvl w:val="0"/>
          <w:numId w:val="0"/>
        </w:numPr>
        <w:spacing w:lineRule="auto" w:line="276" w:before="120" w:after="120"/>
        <w:ind w:left="785" w:hanging="0"/>
        <w:jc w:val="both"/>
        <w:rPr>
          <w:i w:val="false"/>
          <w:i w:val="false"/>
          <w:iCs w:val="false"/>
          <w:color w:val="000000"/>
        </w:rPr>
      </w:pPr>
      <w:r>
        <w:rPr>
          <w:rFonts w:cs="Arial" w:ascii="Arial" w:hAnsi="Arial"/>
          <w:i w:val="false"/>
          <w:iCs w:val="false"/>
          <w:color w:val="000000"/>
          <w:sz w:val="20"/>
          <w:szCs w:val="20"/>
        </w:rPr>
        <w:t xml:space="preserve">7.9 Será adotado para o envio de lances no pregão eletrônico o </w:t>
      </w:r>
      <w:r>
        <w:rPr>
          <w:rFonts w:cs="Arial" w:ascii="Arial" w:hAnsi="Arial"/>
          <w:b/>
          <w:bCs/>
          <w:i w:val="false"/>
          <w:iCs w:val="false"/>
          <w:color w:val="000000"/>
          <w:sz w:val="20"/>
          <w:szCs w:val="20"/>
        </w:rPr>
        <w:t>modo de disputa “aberto e fechado”</w:t>
      </w:r>
      <w:r>
        <w:rPr>
          <w:rFonts w:cs="Arial" w:ascii="Arial" w:hAnsi="Arial"/>
          <w:i w:val="false"/>
          <w:iCs w:val="false"/>
          <w:color w:val="000000"/>
          <w:sz w:val="20"/>
          <w:szCs w:val="20"/>
        </w:rPr>
        <w:t>, em que os licitantes apresentarão lances públicos e sucessivos, com lance final e fechado.</w:t>
      </w:r>
    </w:p>
    <w:p>
      <w:pPr>
        <w:pStyle w:val="Normal"/>
        <w:numPr>
          <w:ilvl w:val="0"/>
          <w:numId w:val="0"/>
        </w:numPr>
        <w:spacing w:lineRule="auto" w:line="276" w:before="120" w:after="120"/>
        <w:ind w:left="785" w:hanging="0"/>
        <w:jc w:val="both"/>
        <w:rPr>
          <w:rFonts w:ascii="Arial" w:hAnsi="Arial" w:cs="Arial"/>
          <w:i/>
          <w:i/>
          <w:iCs/>
          <w:color w:val="FF0000"/>
          <w:sz w:val="20"/>
          <w:szCs w:val="20"/>
          <w:highlight w:val="yellow"/>
        </w:rPr>
      </w:pPr>
      <w:r>
        <w:rPr>
          <w:rFonts w:cs="Arial" w:ascii="Arial" w:hAnsi="Arial"/>
          <w:i w:val="false"/>
          <w:iCs w:val="false"/>
          <w:color w:val="000000"/>
          <w:sz w:val="20"/>
          <w:szCs w:val="20"/>
        </w:rPr>
        <w:t>7.10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0"/>
          <w:numId w:val="0"/>
        </w:numPr>
        <w:spacing w:lineRule="auto" w:line="276" w:before="120" w:after="120"/>
        <w:ind w:left="785" w:hanging="0"/>
        <w:jc w:val="both"/>
        <w:rPr>
          <w:rFonts w:ascii="Arial" w:hAnsi="Arial" w:cs="Arial"/>
          <w:i/>
          <w:i/>
          <w:iCs/>
          <w:color w:val="FF0000"/>
          <w:sz w:val="20"/>
          <w:szCs w:val="20"/>
          <w:highlight w:val="yellow"/>
        </w:rPr>
      </w:pPr>
      <w:r>
        <w:rPr>
          <w:rFonts w:cs="Arial" w:ascii="Arial" w:hAnsi="Arial"/>
          <w:i w:val="false"/>
          <w:iCs w:val="false"/>
          <w:color w:val="000000"/>
          <w:sz w:val="20"/>
          <w:szCs w:val="20"/>
        </w:rPr>
        <w:t>7.11 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0"/>
          <w:numId w:val="0"/>
        </w:numPr>
        <w:spacing w:lineRule="auto" w:line="276" w:before="120" w:after="120"/>
        <w:ind w:left="1712" w:hanging="0"/>
        <w:jc w:val="both"/>
        <w:rPr>
          <w:rFonts w:ascii="Arial" w:hAnsi="Arial" w:cs="Arial"/>
          <w:i/>
          <w:i/>
          <w:iCs/>
          <w:color w:val="FF0000"/>
          <w:sz w:val="20"/>
          <w:szCs w:val="20"/>
          <w:highlight w:val="yellow"/>
        </w:rPr>
      </w:pPr>
      <w:r>
        <w:rPr>
          <w:rFonts w:cs="Arial" w:ascii="Arial" w:hAnsi="Arial"/>
          <w:i w:val="false"/>
          <w:iCs w:val="false"/>
          <w:color w:val="000000"/>
          <w:sz w:val="20"/>
          <w:szCs w:val="20"/>
        </w:rPr>
        <w:t>7.11.1 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pPr>
        <w:pStyle w:val="Normal"/>
        <w:numPr>
          <w:ilvl w:val="0"/>
          <w:numId w:val="0"/>
        </w:numPr>
        <w:spacing w:lineRule="auto" w:line="276" w:before="120" w:after="120"/>
        <w:ind w:left="785" w:hanging="0"/>
        <w:jc w:val="both"/>
        <w:rPr>
          <w:i w:val="false"/>
          <w:i w:val="false"/>
          <w:iCs w:val="false"/>
          <w:color w:val="000000"/>
        </w:rPr>
      </w:pPr>
      <w:r>
        <w:rPr>
          <w:rFonts w:cs="Arial" w:ascii="Arial" w:hAnsi="Arial"/>
          <w:i w:val="false"/>
          <w:iCs w:val="false"/>
          <w:color w:val="000000"/>
          <w:sz w:val="20"/>
          <w:szCs w:val="20"/>
        </w:rPr>
        <w:t>7.12 Após o término dos prazos estabelecidos nos itens anteriores, o sistema ordenará os lances segundo a ordem crescente de valores.</w:t>
      </w:r>
    </w:p>
    <w:p>
      <w:pPr>
        <w:pStyle w:val="Normal"/>
        <w:numPr>
          <w:ilvl w:val="0"/>
          <w:numId w:val="0"/>
        </w:numPr>
        <w:spacing w:lineRule="auto" w:line="276" w:before="120" w:after="120"/>
        <w:ind w:left="1712" w:hanging="0"/>
        <w:jc w:val="both"/>
        <w:rPr>
          <w:rFonts w:ascii="Arial" w:hAnsi="Arial" w:eastAsia="Times New Roman" w:cs="Arial"/>
          <w:i/>
          <w:i/>
          <w:iCs/>
          <w:color w:val="FF0000"/>
          <w:sz w:val="20"/>
          <w:szCs w:val="20"/>
          <w:highlight w:val="yellow"/>
        </w:rPr>
      </w:pPr>
      <w:r>
        <w:rPr>
          <w:rFonts w:eastAsia="Times New Roman" w:cs="Arial" w:ascii="Arial" w:hAnsi="Arial"/>
          <w:i w:val="false"/>
          <w:iCs w:val="false"/>
          <w:color w:val="000000"/>
          <w:sz w:val="20"/>
          <w:szCs w:val="20"/>
        </w:rPr>
        <w:t xml:space="preserve">7.12.1 Não havendo lance final e fechado classificado na forma estabelecida nos itens </w:t>
      </w:r>
      <w:r>
        <w:rPr>
          <w:rFonts w:cs="Arial" w:ascii="Arial" w:hAnsi="Arial"/>
          <w:i w:val="false"/>
          <w:iCs w:val="false"/>
          <w:color w:val="000000"/>
          <w:sz w:val="20"/>
          <w:szCs w:val="20"/>
        </w:rPr>
        <w:t>anteriores</w:t>
      </w:r>
      <w:r>
        <w:rPr>
          <w:rFonts w:eastAsia="Times New Roman" w:cs="Arial" w:ascii="Arial" w:hAnsi="Arial"/>
          <w:i w:val="false"/>
          <w:iCs w:val="false"/>
          <w:color w:val="000000"/>
          <w:sz w:val="20"/>
          <w:szCs w:val="20"/>
        </w:rPr>
        <w:t xml:space="preserve">, </w:t>
      </w:r>
      <w:r>
        <w:rPr>
          <w:rFonts w:cs="Arial" w:ascii="Arial" w:hAnsi="Arial"/>
          <w:i w:val="false"/>
          <w:iCs w:val="false"/>
          <w:color w:val="000000"/>
          <w:sz w:val="20"/>
          <w:szCs w:val="20"/>
        </w:rPr>
        <w:t>haverá o</w:t>
      </w:r>
      <w:r>
        <w:rPr>
          <w:rFonts w:eastAsia="Times New Roman" w:cs="Arial" w:ascii="Arial" w:hAnsi="Arial"/>
          <w:i w:val="false"/>
          <w:iCs w:val="false"/>
          <w:color w:val="000000"/>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pPr>
        <w:pStyle w:val="Normal"/>
        <w:numPr>
          <w:ilvl w:val="0"/>
          <w:numId w:val="0"/>
        </w:numPr>
        <w:spacing w:lineRule="auto" w:line="276" w:before="120" w:after="120"/>
        <w:ind w:left="785" w:hanging="0"/>
        <w:jc w:val="both"/>
        <w:rPr>
          <w:rFonts w:ascii="Arial" w:hAnsi="Arial" w:eastAsia="Times New Roman" w:cs="Arial"/>
          <w:i/>
          <w:i/>
          <w:iCs/>
          <w:color w:val="FF0000"/>
          <w:sz w:val="20"/>
          <w:szCs w:val="20"/>
          <w:highlight w:val="yellow"/>
        </w:rPr>
      </w:pPr>
      <w:r>
        <w:rPr>
          <w:rFonts w:eastAsia="Times New Roman" w:cs="Arial" w:ascii="Arial" w:hAnsi="Arial"/>
          <w:i w:val="false"/>
          <w:iCs w:val="false"/>
          <w:color w:val="000000"/>
          <w:sz w:val="20"/>
          <w:szCs w:val="20"/>
        </w:rPr>
        <w:t>7.13 Poderá o pregoeiro, auxiliado pela equipe de apoio, justificadamente, admitir o reinício da etapa fechada, caso nenhum licitante classificado na etapa de lance fechado atender às exigências de habilitação.</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i w:val="false"/>
          <w:iCs w:val="false"/>
          <w:color w:val="000000"/>
          <w:sz w:val="20"/>
          <w:szCs w:val="20"/>
        </w:rPr>
        <w:t>7.14 Em caso de falha no sis</w:t>
      </w:r>
      <w:r>
        <w:rPr>
          <w:rFonts w:cs="Arial" w:ascii="Arial" w:hAnsi="Arial"/>
          <w:sz w:val="20"/>
          <w:szCs w:val="20"/>
        </w:rPr>
        <w:t>tema, os lances em desacordo com os subitens anteriores deverão ser desconsiderados pelo pregoeiro, devendo a ocorrência ser comunicada imediatamente à Secretaria de Gestão do Ministério da Economia;</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t>7.14.1 Na hipótese do subitem anterior, a ocorrência será registrada em campo próprio do sistema.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7.15 Não serão aceitos dois ou mais lances de mesmo valor, prevalecendo aquele que for recebido e registrado em primeiro lugar.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7.16 Durante o transcurso da sessão pública, os licitantes serão informados, em tempo real, do valor do menor lance registrado, vedada a identificação do licitante.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7.17 No caso de desconexão com o Pregoeiro, no decorrer da etapa competitiva do Pregão, o sistema eletrônico poderá permanecer acessível aos licitantes para a recepção dos lances.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7.18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 xml:space="preserve">7.19 O Critério de julgamento adotado será o </w:t>
      </w:r>
      <w:r>
        <w:rPr>
          <w:rFonts w:eastAsia="ＭＳ 明朝" w:cs="Arial" w:ascii="Arial" w:hAnsi="Arial"/>
          <w:i w:val="false"/>
          <w:iCs w:val="false"/>
          <w:color w:val="000000"/>
          <w:sz w:val="20"/>
          <w:szCs w:val="20"/>
          <w:lang w:val="pt-BR" w:eastAsia="pt-BR" w:bidi="ar-SA"/>
        </w:rPr>
        <w:t>menor preço,</w:t>
      </w:r>
      <w:r>
        <w:rPr>
          <w:rFonts w:cs="Arial" w:ascii="Arial" w:hAnsi="Arial"/>
          <w:color w:val="000000"/>
          <w:sz w:val="20"/>
          <w:szCs w:val="20"/>
        </w:rPr>
        <w:t xml:space="preserve"> conforme definido neste Edital e seus anexos. </w:t>
      </w:r>
    </w:p>
    <w:p>
      <w:pPr>
        <w:pStyle w:val="Normal"/>
        <w:numPr>
          <w:ilvl w:val="0"/>
          <w:numId w:val="0"/>
        </w:numPr>
        <w:spacing w:lineRule="auto" w:line="276" w:before="120" w:after="120"/>
        <w:ind w:left="999" w:hanging="0"/>
        <w:jc w:val="both"/>
        <w:rPr>
          <w:rFonts w:ascii="Arial" w:hAnsi="Arial" w:eastAsia="Zurich BT" w:cs="Arial"/>
          <w:sz w:val="20"/>
          <w:szCs w:val="20"/>
          <w:highlight w:val="yellow"/>
        </w:rPr>
      </w:pPr>
      <w:r>
        <w:rPr>
          <w:rFonts w:cs="Arial" w:ascii="Arial" w:hAnsi="Arial"/>
          <w:color w:val="000000" w:themeColor="text1"/>
          <w:sz w:val="20"/>
          <w:szCs w:val="20"/>
          <w:lang w:eastAsia="en-US"/>
        </w:rPr>
        <w:t>7.19.1 Caso o licitante não apresente lances, concorrerá com o valor de sua proposta.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7.20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7.21 Nessas condições, as propostas de microempresas e empresas de pequeno porte que se encontrarem na faixa de até 5% (cinco por cento) acima da </w:t>
      </w:r>
      <w:r>
        <w:rPr>
          <w:rFonts w:cs="Arial" w:ascii="Arial" w:hAnsi="Arial"/>
          <w:color w:val="000000" w:themeColor="text1"/>
          <w:sz w:val="20"/>
          <w:szCs w:val="20"/>
        </w:rPr>
        <w:t>melhor proposta ou melhor lance</w:t>
      </w:r>
      <w:r>
        <w:rPr>
          <w:rFonts w:cs="Arial" w:ascii="Arial" w:hAnsi="Arial"/>
          <w:color w:val="000000"/>
          <w:sz w:val="20"/>
          <w:szCs w:val="20"/>
          <w:lang w:eastAsia="en-US"/>
        </w:rPr>
        <w:t xml:space="preserve">  serão consideradas empatadas com a primeira colocada.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7.22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7.23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7.24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7.25 Quando houver propostas beneficiadas com as margens de preferência em relação ao produto estrangeiro, o critério de desempate será aplicado exclusivamente entre as propostas que fizerem jus às margens de preferência, conforme regulamento. </w:t>
      </w:r>
    </w:p>
    <w:p>
      <w:pPr>
        <w:pStyle w:val="ListParagraph"/>
        <w:numPr>
          <w:ilvl w:val="0"/>
          <w:numId w:val="0"/>
        </w:numPr>
        <w:spacing w:lineRule="auto" w:line="276" w:before="120" w:after="120"/>
        <w:ind w:left="1424" w:hanging="0"/>
        <w:contextualSpacing/>
        <w:jc w:val="both"/>
        <w:rPr/>
      </w:pPr>
      <w:r>
        <w:rPr>
          <w:rFonts w:eastAsia="Arial" w:cs="Arial" w:ascii="Arial" w:hAnsi="Arial"/>
          <w:sz w:val="20"/>
          <w:szCs w:val="20"/>
        </w:rPr>
        <w:t>7.26 A ordem de apresentação pelos licitantes é utilizada como um dos critérios de classificação, de maneira que só poderá haver empate entre propostas iguais (não seguidas de lances), ou entre lances finais da fase fechada do modo de disputa aberto e fechado.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themeColor="text1"/>
          <w:sz w:val="20"/>
          <w:szCs w:val="20"/>
        </w:rPr>
        <w:t xml:space="preserve">7.27 Havendo </w:t>
      </w:r>
      <w:r>
        <w:rPr>
          <w:rFonts w:eastAsia="Arial" w:cs="Arial" w:ascii="Arial" w:hAnsi="Arial"/>
          <w:sz w:val="20"/>
          <w:szCs w:val="20"/>
        </w:rPr>
        <w:t>eventual</w:t>
      </w:r>
      <w:r>
        <w:rPr>
          <w:rFonts w:cs="Arial" w:ascii="Arial" w:hAnsi="Arial"/>
          <w:color w:val="000000" w:themeColor="text1"/>
          <w:sz w:val="20"/>
          <w:szCs w:val="20"/>
        </w:rPr>
        <w:t xml:space="preserve"> empate entre propostas ou lances</w:t>
      </w:r>
      <w:r>
        <w:rPr>
          <w:rFonts w:cs="Arial" w:ascii="Arial" w:hAnsi="Arial"/>
          <w:color w:val="000000"/>
          <w:sz w:val="20"/>
          <w:szCs w:val="20"/>
          <w:lang w:eastAsia="en-US"/>
        </w:rPr>
        <w:t xml:space="preserve"> , o critério de desempate será aquele previsto no art. 3º, § 2º, da Lei nº 8.666, de 1993, assegurando-se a preferência, sucessivamente, aos bens produzidos: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7.27.1 no pais;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7.27.2 por empresas brasileiras; </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7.27.3 por empresas que invistam em pesquisa e no desenvolvimento de tecnologia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7.23.4 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sz w:val="20"/>
          <w:szCs w:val="20"/>
        </w:rPr>
        <w:t xml:space="preserve">7.28 Persistindo </w:t>
      </w:r>
      <w:r>
        <w:rPr>
          <w:rFonts w:eastAsia="Arial" w:cs="Arial" w:ascii="Arial" w:hAnsi="Arial"/>
          <w:sz w:val="20"/>
          <w:szCs w:val="20"/>
        </w:rPr>
        <w:t xml:space="preserve">o empate, </w:t>
      </w:r>
      <w:r>
        <w:rPr>
          <w:rFonts w:cs="Arial" w:ascii="Arial" w:hAnsi="Arial"/>
          <w:color w:val="000000"/>
          <w:sz w:val="20"/>
          <w:szCs w:val="20"/>
        </w:rPr>
        <w:t>a proposta vencedora será sorteada pelo sistema eletrônico dentre as propostas empatadas</w:t>
      </w:r>
      <w:r>
        <w:rPr>
          <w:rFonts w:eastAsia="Arial" w:cs="Arial" w:ascii="Arial" w:hAnsi="Arial"/>
          <w:sz w:val="20"/>
          <w:szCs w:val="20"/>
        </w:rPr>
        <w:t>.</w:t>
      </w:r>
      <w:r>
        <w:rPr>
          <w:rFonts w:cs="Arial" w:ascii="Arial" w:hAnsi="Arial"/>
          <w:color w:val="000000"/>
          <w:sz w:val="20"/>
          <w:szCs w:val="20"/>
          <w:lang w:eastAsia="en-US"/>
        </w:rPr>
        <w:t xml:space="preserve"> </w:t>
      </w:r>
    </w:p>
    <w:p>
      <w:pPr>
        <w:pStyle w:val="ListParagraph"/>
        <w:numPr>
          <w:ilvl w:val="0"/>
          <w:numId w:val="0"/>
        </w:numPr>
        <w:tabs>
          <w:tab w:val="left" w:pos="-12" w:leader="none"/>
        </w:tabs>
        <w:spacing w:lineRule="auto" w:line="276" w:before="120" w:after="120"/>
        <w:ind w:left="1719" w:hanging="0"/>
        <w:contextualSpacing/>
        <w:jc w:val="both"/>
        <w:rPr>
          <w:rFonts w:ascii="Arial" w:hAnsi="Arial" w:cs="Arial"/>
          <w:color w:val="000000" w:themeColor="text1"/>
          <w:sz w:val="20"/>
          <w:szCs w:val="20"/>
        </w:rPr>
      </w:pPr>
      <w:r>
        <w:rPr>
          <w:rFonts w:cs="Arial" w:ascii="Arial" w:hAnsi="Arial"/>
          <w:color w:val="000000"/>
          <w:sz w:val="20"/>
          <w:szCs w:val="20"/>
        </w:rPr>
        <w:t>7.29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0"/>
          <w:numId w:val="0"/>
        </w:numPr>
        <w:spacing w:lineRule="auto" w:line="276" w:before="120" w:after="120"/>
        <w:ind w:left="2358" w:hanging="0"/>
        <w:contextualSpacing/>
        <w:jc w:val="both"/>
        <w:rPr/>
      </w:pPr>
      <w:r>
        <w:rPr>
          <w:rFonts w:cs="Arial" w:ascii="Arial" w:hAnsi="Arial"/>
          <w:color w:val="000000"/>
          <w:sz w:val="20"/>
          <w:szCs w:val="20"/>
          <w:lang w:eastAsia="en-US"/>
        </w:rPr>
        <w:t>7.29.1 A negociação será realizada por meio do sistema, podendo ser acompanhada pelos demais licitantes.</w:t>
      </w:r>
    </w:p>
    <w:p>
      <w:pPr>
        <w:pStyle w:val="ListParagraph"/>
        <w:numPr>
          <w:ilvl w:val="0"/>
          <w:numId w:val="0"/>
        </w:numPr>
        <w:tabs>
          <w:tab w:val="left" w:pos="-12" w:leader="none"/>
        </w:tabs>
        <w:spacing w:lineRule="auto" w:line="276" w:before="120" w:after="120"/>
        <w:ind w:left="2358" w:hanging="0"/>
        <w:contextualSpacing/>
        <w:jc w:val="both"/>
        <w:rPr/>
      </w:pPr>
      <w:r>
        <w:rPr>
          <w:rFonts w:cs="Arial" w:ascii="Arial" w:hAnsi="Arial"/>
          <w:color w:val="000000"/>
          <w:sz w:val="20"/>
          <w:szCs w:val="20"/>
        </w:rPr>
        <w:t xml:space="preserve">7.29.2 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no prazo de 02</w:t>
      </w:r>
      <w:r>
        <w:rPr>
          <w:rFonts w:cs="Arial" w:ascii="Arial" w:hAnsi="Arial"/>
          <w:color w:val="FF0000"/>
          <w:sz w:val="20"/>
          <w:szCs w:val="20"/>
        </w:rPr>
        <w:t xml:space="preserve"> </w:t>
      </w:r>
      <w:r>
        <w:rPr>
          <w:rFonts w:cs="Arial" w:ascii="Arial" w:hAnsi="Arial"/>
          <w:color w:val="000000"/>
          <w:sz w:val="20"/>
          <w:szCs w:val="20"/>
        </w:rPr>
        <w:t>(duas)</w:t>
      </w:r>
      <w:r>
        <w:rPr>
          <w:rFonts w:cs="Arial" w:ascii="Arial" w:hAnsi="Arial"/>
          <w:i/>
          <w:iCs/>
          <w:color w:val="000000" w:themeColor="text1"/>
          <w:sz w:val="20"/>
          <w:szCs w:val="20"/>
        </w:rPr>
        <w:t xml:space="preserve"> </w:t>
      </w:r>
      <w:r>
        <w:rPr>
          <w:rFonts w:cs="Arial" w:ascii="Arial" w:hAnsi="Arial"/>
          <w:color w:val="000000" w:themeColor="text1"/>
          <w:sz w:val="20"/>
          <w:szCs w:val="20"/>
        </w:rPr>
        <w:t xml:space="preserve">horas, envie </w:t>
      </w:r>
      <w:r>
        <w:rPr>
          <w:rFonts w:cs="Arial" w:ascii="Arial" w:hAnsi="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spacing w:lineRule="auto" w:line="276" w:before="120" w:after="120"/>
        <w:ind w:left="163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7.30 Após a negociação do preço, o Pregoeiro iniciará a fase de aceitação e julgamento da proposta.</w:t>
      </w:r>
    </w:p>
    <w:p>
      <w:pPr>
        <w:pStyle w:val="ListParagraph"/>
        <w:numPr>
          <w:ilvl w:val="0"/>
          <w:numId w:val="0"/>
        </w:numPr>
        <w:spacing w:lineRule="auto" w:line="276" w:before="120" w:after="120"/>
        <w:ind w:left="1424" w:hanging="0"/>
        <w:contextualSpacing/>
        <w:jc w:val="both"/>
        <w:rPr>
          <w:rFonts w:ascii="Arial" w:hAnsi="Arial" w:cs="Arial"/>
          <w:i/>
          <w:i/>
          <w:color w:val="FF0000"/>
          <w:sz w:val="20"/>
          <w:szCs w:val="20"/>
          <w:lang w:eastAsia="en-US"/>
        </w:rPr>
      </w:pPr>
      <w:r>
        <w:rPr>
          <w:rFonts w:cs="Arial" w:ascii="Arial" w:hAnsi="Arial"/>
          <w:i/>
          <w:color w:val="FF0000"/>
          <w:sz w:val="20"/>
          <w:szCs w:val="20"/>
          <w:lang w:eastAsia="en-US"/>
        </w:rPr>
      </w:r>
    </w:p>
    <w:p>
      <w:pPr>
        <w:pStyle w:val="ListParagraph"/>
        <w:numPr>
          <w:ilvl w:val="0"/>
          <w:numId w:val="0"/>
        </w:numPr>
        <w:spacing w:lineRule="auto" w:line="276" w:before="120" w:after="120"/>
        <w:ind w:left="2772" w:hanging="0"/>
        <w:contextualSpacing/>
        <w:jc w:val="both"/>
        <w:rPr>
          <w:rFonts w:ascii="Arial" w:hAnsi="Arial" w:cs="Arial"/>
          <w:i/>
          <w:i/>
          <w:color w:val="FF0000"/>
          <w:sz w:val="20"/>
          <w:szCs w:val="20"/>
        </w:rPr>
      </w:pPr>
      <w:r>
        <w:rPr>
          <w:rFonts w:cs="Arial" w:ascii="Arial" w:hAnsi="Arial"/>
          <w:i/>
          <w:color w:val="FF0000"/>
          <w:sz w:val="20"/>
          <w:szCs w:val="20"/>
        </w:rPr>
      </w:r>
    </w:p>
    <w:p>
      <w:pPr>
        <w:pStyle w:val="Nivel01"/>
        <w:numPr>
          <w:ilvl w:val="0"/>
          <w:numId w:val="0"/>
        </w:numPr>
        <w:ind w:left="360" w:hanging="0"/>
        <w:rPr/>
      </w:pPr>
      <w:r>
        <w:rPr>
          <w:rFonts w:cs="Arial" w:ascii="Arial" w:hAnsi="Arial"/>
          <w:lang w:eastAsia="en-US"/>
        </w:rPr>
        <w:t>8. DA ACEITABILIDADE DA PROPOSTA VENCEDORA.</w:t>
      </w:r>
    </w:p>
    <w:p>
      <w:pPr>
        <w:pStyle w:val="ListParagraph"/>
        <w:numPr>
          <w:ilvl w:val="0"/>
          <w:numId w:val="0"/>
        </w:numPr>
        <w:spacing w:lineRule="auto" w:line="276" w:before="120" w:after="120"/>
        <w:ind w:left="1424" w:hanging="0"/>
        <w:contextualSpacing/>
        <w:jc w:val="both"/>
        <w:rPr/>
      </w:pPr>
      <w:r>
        <w:rPr>
          <w:rFonts w:cs="Arial" w:ascii="Arial" w:hAnsi="Arial"/>
          <w:sz w:val="20"/>
          <w:szCs w:val="20"/>
        </w:rPr>
        <w:t xml:space="preserve">8.1 Encerrada </w:t>
      </w:r>
      <w:r>
        <w:rPr>
          <w:rFonts w:cs="Arial" w:ascii="Arial" w:hAnsi="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ListParagraph"/>
        <w:numPr>
          <w:ilvl w:val="0"/>
          <w:numId w:val="0"/>
        </w:numPr>
        <w:spacing w:lineRule="auto" w:line="276" w:before="120" w:after="120"/>
        <w:ind w:left="1424" w:hanging="0"/>
        <w:contextualSpacing/>
        <w:jc w:val="both"/>
        <w:rPr>
          <w:rFonts w:ascii="Arial" w:hAnsi="Arial" w:cs="Arial"/>
          <w:b/>
          <w:b/>
          <w:color w:val="7030A0"/>
          <w:sz w:val="20"/>
          <w:szCs w:val="20"/>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numPr>
          <w:ilvl w:val="0"/>
          <w:numId w:val="0"/>
        </w:numPr>
        <w:spacing w:lineRule="auto" w:line="276" w:before="120" w:after="120"/>
        <w:ind w:left="1424" w:hanging="0"/>
        <w:contextualSpacing/>
        <w:jc w:val="both"/>
        <w:rPr>
          <w:rFonts w:ascii="Arial" w:hAnsi="Arial" w:cs="Arial"/>
          <w:b/>
          <w:b/>
          <w:color w:val="7030A0"/>
          <w:sz w:val="20"/>
          <w:szCs w:val="20"/>
        </w:rPr>
      </w:pPr>
      <w:r>
        <w:rPr>
          <w:rFonts w:cs="Arial" w:ascii="Arial" w:hAnsi="Arial"/>
          <w:color w:val="000000"/>
          <w:sz w:val="20"/>
          <w:szCs w:val="20"/>
        </w:rPr>
        <w:t>8.3 Será desclassificada a proposta ou o lance vencedor, apresentar preço final superior ao preço máximo fixado (Acórdão nº 1455/2018 -TCU - Plenário), ou que apresentar preço manifestamente inexequível.</w:t>
      </w:r>
    </w:p>
    <w:p>
      <w:pPr>
        <w:pStyle w:val="ListParagraph"/>
        <w:numPr>
          <w:ilvl w:val="0"/>
          <w:numId w:val="0"/>
        </w:numPr>
        <w:spacing w:lineRule="auto" w:line="276" w:before="120" w:after="120"/>
        <w:ind w:left="2358" w:hanging="0"/>
        <w:contextualSpacing/>
        <w:jc w:val="both"/>
        <w:rPr>
          <w:rFonts w:ascii="Arial" w:hAnsi="Arial" w:cs="Arial"/>
          <w:b/>
          <w:b/>
          <w:color w:val="7030A0"/>
          <w:sz w:val="20"/>
          <w:szCs w:val="20"/>
        </w:rPr>
      </w:pPr>
      <w:r>
        <w:rPr>
          <w:rFonts w:cs="Arial" w:ascii="Arial" w:hAnsi="Arial"/>
          <w:sz w:val="20"/>
          <w:szCs w:val="20"/>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ascii="Arial" w:hAnsi="Arial"/>
          <w:i/>
          <w:color w:val="FF0000"/>
          <w:sz w:val="20"/>
          <w:szCs w:val="20"/>
        </w:rPr>
        <w:t> </w:t>
      </w:r>
    </w:p>
    <w:p>
      <w:pPr>
        <w:pStyle w:val="ListParagraph"/>
        <w:numPr>
          <w:ilvl w:val="0"/>
          <w:numId w:val="0"/>
        </w:numPr>
        <w:spacing w:lineRule="auto" w:line="276" w:before="120" w:after="120"/>
        <w:ind w:left="1566" w:right="-15" w:hanging="0"/>
        <w:contextualSpacing/>
        <w:jc w:val="both"/>
        <w:rPr/>
      </w:pPr>
      <w:r>
        <w:rPr>
          <w:rFonts w:cs="Arial" w:ascii="Arial" w:hAnsi="Arial"/>
          <w:color w:val="000000" w:themeColor="text1"/>
          <w:sz w:val="20"/>
          <w:szCs w:val="20"/>
          <w:lang w:eastAsia="en-US"/>
        </w:rPr>
        <w:t>8.4 Qualquer interessado poderá requerer que se realizem diligências para aferir a exequibilidade e a legalidade das propostas, devendo apresentar as provas ou os indícios que fundamentam a suspeita;</w:t>
      </w:r>
    </w:p>
    <w:p>
      <w:pPr>
        <w:pStyle w:val="ListParagraph"/>
        <w:numPr>
          <w:ilvl w:val="0"/>
          <w:numId w:val="0"/>
        </w:numPr>
        <w:spacing w:lineRule="auto" w:line="276" w:before="120" w:after="120"/>
        <w:ind w:left="1566" w:right="-15" w:hanging="0"/>
        <w:contextualSpacing/>
        <w:jc w:val="both"/>
        <w:rPr>
          <w:rFonts w:ascii="Arial" w:hAnsi="Arial" w:cs="Arial"/>
          <w:color w:val="000000" w:themeColor="text1"/>
          <w:sz w:val="20"/>
          <w:szCs w:val="20"/>
          <w:highlight w:val="yellow"/>
          <w:lang w:eastAsia="en-US"/>
        </w:rPr>
      </w:pPr>
      <w:r>
        <w:rPr>
          <w:rFonts w:cs="Arial" w:ascii="Arial" w:hAnsi="Arial"/>
          <w:color w:val="000000" w:themeColor="text1"/>
          <w:sz w:val="20"/>
          <w:szCs w:val="20"/>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numPr>
          <w:ilvl w:val="0"/>
          <w:numId w:val="0"/>
        </w:numPr>
        <w:spacing w:lineRule="auto" w:line="276" w:before="120" w:after="120"/>
        <w:ind w:left="1566" w:right="-15" w:hanging="0"/>
        <w:contextualSpacing/>
        <w:jc w:val="both"/>
        <w:rPr/>
      </w:pPr>
      <w:r>
        <w:rPr>
          <w:rFonts w:cs="Arial" w:ascii="Arial" w:hAnsi="Arial"/>
          <w:color w:val="000000" w:themeColor="text1"/>
          <w:sz w:val="20"/>
          <w:szCs w:val="20"/>
          <w:lang w:eastAsia="en-US"/>
        </w:rPr>
        <w:t xml:space="preserve">8.6 O Pregoeiro poderá convocar o licitante para enviar documento digital complementar, por meio de funcionalidade disponível no sistema, no prazo de 02 </w:t>
      </w:r>
      <w:r>
        <w:rPr>
          <w:rFonts w:cs="Arial" w:ascii="Arial" w:hAnsi="Arial"/>
          <w:color w:val="FF0000"/>
          <w:sz w:val="20"/>
          <w:szCs w:val="20"/>
          <w:lang w:eastAsia="en-US"/>
        </w:rPr>
        <w:t>(</w:t>
      </w:r>
      <w:r>
        <w:rPr>
          <w:rFonts w:cs="Arial" w:ascii="Arial" w:hAnsi="Arial"/>
          <w:color w:val="000000"/>
          <w:sz w:val="20"/>
          <w:szCs w:val="20"/>
          <w:lang w:eastAsia="en-US"/>
        </w:rPr>
        <w:t xml:space="preserve">duas) horas, </w:t>
      </w:r>
      <w:r>
        <w:rPr>
          <w:rFonts w:cs="Arial" w:ascii="Arial" w:hAnsi="Arial"/>
          <w:color w:val="000000" w:themeColor="text1"/>
          <w:sz w:val="20"/>
          <w:szCs w:val="20"/>
          <w:lang w:eastAsia="en-US"/>
        </w:rPr>
        <w:t>sob pena de não aceitação da proposta.</w:t>
      </w:r>
    </w:p>
    <w:p>
      <w:pPr>
        <w:pStyle w:val="Normal"/>
        <w:numPr>
          <w:ilvl w:val="0"/>
          <w:numId w:val="0"/>
        </w:numPr>
        <w:spacing w:lineRule="auto" w:line="276" w:before="120" w:after="120"/>
        <w:ind w:left="2772" w:right="-15" w:hanging="0"/>
        <w:jc w:val="both"/>
        <w:rPr/>
      </w:pPr>
      <w:r>
        <w:rPr>
          <w:rFonts w:cs="Arial" w:ascii="Arial" w:hAnsi="Arial"/>
          <w:color w:val="000000" w:themeColor="text1"/>
          <w:sz w:val="20"/>
          <w:szCs w:val="20"/>
          <w:lang w:eastAsia="en-US"/>
        </w:rPr>
        <w:t xml:space="preserve">8.6.1 O prazo estabelecido poderá ser prorrogado pelo Pregoeiro por solicitação escrita e justificada do licitante, formulada antes de findo o prazo, e formalmente aceita pelo Pregoeiro. </w:t>
      </w:r>
    </w:p>
    <w:p>
      <w:pPr>
        <w:pStyle w:val="ListParagraph"/>
        <w:numPr>
          <w:ilvl w:val="0"/>
          <w:numId w:val="0"/>
        </w:numPr>
        <w:spacing w:lineRule="auto" w:line="276" w:before="120" w:after="120"/>
        <w:ind w:left="2358" w:hanging="0"/>
        <w:contextualSpacing/>
        <w:jc w:val="both"/>
        <w:rPr/>
      </w:pPr>
      <w:r>
        <w:rPr>
          <w:rFonts w:cs="Arial" w:ascii="Arial" w:hAnsi="Arial"/>
          <w:sz w:val="20"/>
          <w:szCs w:val="20"/>
          <w:lang w:eastAsia="en-US"/>
        </w:rPr>
        <w:t>8.6.2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ListParagraph"/>
        <w:numPr>
          <w:ilvl w:val="0"/>
          <w:numId w:val="0"/>
        </w:numPr>
        <w:spacing w:lineRule="auto" w:line="276" w:before="120" w:after="120"/>
        <w:ind w:left="1424" w:hanging="0"/>
        <w:contextualSpacing/>
        <w:jc w:val="both"/>
        <w:rPr/>
      </w:pPr>
      <w:r>
        <w:rPr>
          <w:rFonts w:cs="Arial" w:ascii="Arial" w:hAnsi="Arial"/>
          <w:bCs/>
          <w:iCs/>
          <w:color w:val="00000A"/>
          <w:sz w:val="20"/>
          <w:szCs w:val="20"/>
        </w:rPr>
        <w:t xml:space="preserve">8.7 </w:t>
      </w:r>
      <w:r>
        <w:rPr>
          <w:rFonts w:cs="Arial" w:ascii="Arial" w:hAnsi="Arial"/>
          <w:bCs/>
          <w:iCs/>
          <w:color w:val="000000"/>
          <w:sz w:val="20"/>
          <w:szCs w:val="20"/>
        </w:rPr>
        <w:t>Se a proposta ou lance vencedor for desclassificado, o Pregoeiro examinará a proposta ou lance subsequente, e, assim sucessivamente, na ordem de classificação.</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color w:val="000000"/>
          <w:sz w:val="20"/>
          <w:szCs w:val="20"/>
          <w:lang w:eastAsia="en-US"/>
        </w:rPr>
        <w:t>8.8 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8.9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rPr>
        <w:t>8.9.1 Também nas hipóteses em que o Pregoeiro não aceitar a proposta e passar à subsequente, poderá negociar com o licitante para que seja obtido preço melhor.</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8.9.2 A negociação será realizada por meio do sistema, podendo ser acompanhada pelos demais licitantes.</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8.10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0"/>
          <w:numId w:val="0"/>
        </w:numPr>
        <w:spacing w:lineRule="auto" w:line="276" w:before="120" w:after="120"/>
        <w:ind w:left="1566" w:right="-15" w:hanging="0"/>
        <w:jc w:val="both"/>
        <w:rPr/>
      </w:pPr>
      <w:r>
        <w:rPr>
          <w:rFonts w:cs="Arial" w:ascii="Arial" w:hAnsi="Arial"/>
          <w:color w:val="000000"/>
          <w:sz w:val="20"/>
          <w:szCs w:val="20"/>
        </w:rPr>
        <w:t xml:space="preserve">8.11 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 </w:t>
      </w:r>
    </w:p>
    <w:p>
      <w:pPr>
        <w:pStyle w:val="Normal"/>
        <w:numPr>
          <w:ilvl w:val="0"/>
          <w:numId w:val="0"/>
        </w:numPr>
        <w:spacing w:lineRule="auto" w:line="276" w:before="120" w:after="120"/>
        <w:ind w:left="1566" w:right="-15" w:hanging="0"/>
        <w:jc w:val="both"/>
        <w:rPr>
          <w:rFonts w:ascii="Arial" w:hAnsi="Arial" w:cs="Arial"/>
          <w:color w:val="000000" w:themeColor="text1"/>
          <w:sz w:val="20"/>
          <w:szCs w:val="20"/>
          <w:highlight w:val="yellow"/>
        </w:rPr>
      </w:pPr>
      <w:r>
        <w:rPr>
          <w:rFonts w:cs="Arial" w:ascii="Arial" w:hAnsi="Arial"/>
          <w:color w:val="000000" w:themeColor="text1"/>
          <w:sz w:val="20"/>
          <w:szCs w:val="20"/>
          <w:highlight w:val="yellow"/>
        </w:rPr>
      </w:r>
    </w:p>
    <w:p>
      <w:pPr>
        <w:pStyle w:val="Nivel01"/>
        <w:numPr>
          <w:ilvl w:val="0"/>
          <w:numId w:val="0"/>
        </w:numPr>
        <w:ind w:left="360" w:hanging="0"/>
        <w:rPr>
          <w:rFonts w:ascii="Arial" w:hAnsi="Arial" w:cs="Arial"/>
        </w:rPr>
      </w:pPr>
      <w:r>
        <w:rPr>
          <w:rFonts w:cs="Arial" w:ascii="Arial" w:hAnsi="Arial"/>
          <w:lang w:eastAsia="en-US"/>
        </w:rPr>
        <w:t xml:space="preserve">9. DA HABILITAÇÃO  </w:t>
      </w:r>
    </w:p>
    <w:p>
      <w:pPr>
        <w:pStyle w:val="ListParagraph"/>
        <w:numPr>
          <w:ilvl w:val="0"/>
          <w:numId w:val="0"/>
        </w:numPr>
        <w:spacing w:lineRule="auto" w:line="276" w:before="120" w:after="120"/>
        <w:ind w:left="1719" w:hanging="0"/>
        <w:contextualSpacing/>
        <w:jc w:val="both"/>
        <w:rPr/>
      </w:pPr>
      <w:r>
        <w:rPr>
          <w:rFonts w:cs="Arial" w:ascii="Arial" w:hAnsi="Arial"/>
          <w:b/>
          <w:bCs/>
          <w:sz w:val="20"/>
          <w:szCs w:val="20"/>
          <w:lang w:eastAsia="ar-SA"/>
        </w:rPr>
        <w:t xml:space="preserve">9.1 </w:t>
      </w:r>
      <w:r>
        <w:rPr>
          <w:rFonts w:cs="Arial" w:ascii="Arial" w:hAnsi="Arial"/>
          <w:sz w:val="20"/>
          <w:szCs w:val="20"/>
          <w:lang w:eastAsia="ar-SA"/>
        </w:rPr>
        <w:t>Como condição prévia ao exame da documentação de habilitação</w:t>
      </w:r>
      <w:r>
        <w:rPr>
          <w:rFonts w:cs="Arial" w:ascii="Arial" w:hAnsi="Arial"/>
          <w:sz w:val="20"/>
          <w:szCs w:val="20"/>
        </w:rPr>
        <w:t xml:space="preserve"> do licitante detentor da proposta </w:t>
      </w:r>
      <w:r>
        <w:rPr>
          <w:rFonts w:cs="Arial" w:ascii="Arial" w:hAnsi="Arial"/>
          <w:color w:val="000000"/>
          <w:sz w:val="20"/>
          <w:szCs w:val="20"/>
        </w:rPr>
        <w:t>classificada em primeiro lugar</w:t>
      </w:r>
      <w:r>
        <w:rPr>
          <w:rFonts w:cs="Arial" w:ascii="Arial" w:hAnsi="Arial"/>
          <w:sz w:val="20"/>
          <w:szCs w:val="20"/>
          <w:lang w:eastAsia="ar-SA"/>
        </w:rPr>
        <w:t xml:space="preserve">, </w:t>
      </w:r>
      <w:r>
        <w:rPr>
          <w:rFonts w:cs="Arial" w:ascii="Arial" w:hAnsi="Arial"/>
          <w:sz w:val="20"/>
          <w:szCs w:val="20"/>
        </w:rPr>
        <w:t xml:space="preserve">o Pregoeiro </w:t>
      </w:r>
      <w:r>
        <w:rPr>
          <w:rFonts w:cs="Arial" w:ascii="Arial" w:hAnsi="Arial"/>
          <w:sz w:val="20"/>
          <w:szCs w:val="20"/>
          <w:lang w:eastAsia="ar-SA"/>
        </w:rPr>
        <w:t>verificará o eventual descumprimento das condições de participação, especialmente quanto à</w:t>
      </w:r>
      <w:r>
        <w:rPr>
          <w:rFonts w:cs="Arial" w:ascii="Arial" w:hAnsi="Arial"/>
          <w:sz w:val="20"/>
          <w:szCs w:val="20"/>
        </w:rPr>
        <w:t xml:space="preserve"> existência de sanção que impeça a participação no certame ou a futura contratação, mediante a consulta aos seguintes cadastros:</w:t>
      </w:r>
    </w:p>
    <w:p>
      <w:pPr>
        <w:pStyle w:val="ListParagraph"/>
        <w:numPr>
          <w:ilvl w:val="0"/>
          <w:numId w:val="0"/>
        </w:numPr>
        <w:spacing w:lineRule="auto" w:line="276" w:before="120" w:after="120"/>
        <w:ind w:left="2772" w:hanging="0"/>
        <w:contextualSpacing/>
        <w:jc w:val="both"/>
        <w:rPr>
          <w:rFonts w:ascii="Arial" w:hAnsi="Arial" w:cs="Arial"/>
          <w:sz w:val="20"/>
          <w:szCs w:val="20"/>
        </w:rPr>
      </w:pPr>
      <w:r>
        <w:rPr>
          <w:rFonts w:cs="Arial" w:ascii="Arial" w:hAnsi="Arial"/>
          <w:sz w:val="20"/>
          <w:szCs w:val="20"/>
        </w:rPr>
        <w:t>9.1.1 SICAF;</w:t>
      </w:r>
    </w:p>
    <w:p>
      <w:pPr>
        <w:pStyle w:val="ListParagraph"/>
        <w:widowControl/>
        <w:numPr>
          <w:ilvl w:val="0"/>
          <w:numId w:val="0"/>
        </w:numPr>
        <w:bidi w:val="0"/>
        <w:spacing w:lineRule="auto" w:line="276" w:before="120" w:after="120"/>
        <w:ind w:left="2829" w:right="0" w:hanging="0"/>
        <w:contextualSpacing/>
        <w:jc w:val="both"/>
        <w:rPr/>
      </w:pPr>
      <w:r>
        <w:rPr>
          <w:rFonts w:cs="Arial" w:ascii="Arial" w:hAnsi="Arial"/>
          <w:sz w:val="20"/>
          <w:szCs w:val="20"/>
        </w:rPr>
        <w:t>9.1.2 Consulta Consolidada de Pessoa Jurídica do Tribunal de Contas da União (</w:t>
      </w:r>
      <w:hyperlink r:id="rId3">
        <w:r>
          <w:rPr>
            <w:rStyle w:val="LinkdaInternet"/>
            <w:rFonts w:cs="Arial" w:ascii="Arial" w:hAnsi="Arial"/>
            <w:sz w:val="20"/>
            <w:szCs w:val="20"/>
          </w:rPr>
          <w:t>https://certidoes-apf.apps.tcu.gov.br/</w:t>
        </w:r>
      </w:hyperlink>
      <w:r>
        <w:rPr>
          <w:rFonts w:cs="Arial" w:ascii="Arial" w:hAnsi="Arial"/>
          <w:sz w:val="20"/>
          <w:szCs w:val="20"/>
        </w:rPr>
        <w:t>)</w:t>
      </w:r>
    </w:p>
    <w:p>
      <w:pPr>
        <w:pStyle w:val="ListParagraph"/>
        <w:spacing w:lineRule="auto" w:line="276" w:before="120" w:after="120"/>
        <w:ind w:left="1134" w:hanging="0"/>
        <w:contextualSpacing/>
        <w:jc w:val="both"/>
        <w:rPr>
          <w:rFonts w:ascii="Arial" w:hAnsi="Arial" w:cs="Arial"/>
          <w:sz w:val="20"/>
          <w:szCs w:val="20"/>
          <w:highlight w:val="yellow"/>
        </w:rPr>
      </w:pPr>
      <w:r>
        <w:rPr>
          <w:rFonts w:cs="Arial" w:ascii="Arial" w:hAnsi="Arial"/>
          <w:sz w:val="20"/>
          <w:szCs w:val="20"/>
          <w:highlight w:val="yellow"/>
        </w:rPr>
      </w:r>
    </w:p>
    <w:p>
      <w:pPr>
        <w:pStyle w:val="ListParagraph"/>
        <w:numPr>
          <w:ilvl w:val="0"/>
          <w:numId w:val="0"/>
        </w:numPr>
        <w:spacing w:lineRule="auto" w:line="276" w:before="120" w:after="120"/>
        <w:ind w:left="2772" w:hanging="0"/>
        <w:contextualSpacing/>
        <w:jc w:val="both"/>
        <w:rPr/>
      </w:pPr>
      <w:r>
        <w:rPr>
          <w:rFonts w:cs="Arial" w:ascii="Arial" w:hAnsi="Arial"/>
          <w:bCs/>
          <w:color w:val="000000"/>
          <w:sz w:val="20"/>
          <w:szCs w:val="20"/>
        </w:rPr>
        <w:t>9.1.3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0"/>
          <w:numId w:val="0"/>
        </w:numPr>
        <w:spacing w:lineRule="auto" w:line="276" w:before="120" w:after="120"/>
        <w:ind w:left="3211" w:hanging="0"/>
        <w:contextualSpacing/>
        <w:jc w:val="both"/>
        <w:rPr>
          <w:rFonts w:ascii="Arial" w:hAnsi="Arial" w:cs="Arial"/>
          <w:bCs/>
          <w:color w:val="000000"/>
          <w:sz w:val="20"/>
          <w:szCs w:val="20"/>
        </w:rPr>
      </w:pPr>
      <w:r>
        <w:rPr>
          <w:rFonts w:cs="Arial" w:ascii="Arial" w:hAnsi="Arial"/>
          <w:bCs/>
          <w:color w:val="000000"/>
          <w:sz w:val="20"/>
          <w:szCs w:val="20"/>
        </w:rPr>
        <w:t>9.1.3.1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0"/>
          <w:numId w:val="0"/>
        </w:numPr>
        <w:spacing w:lineRule="auto" w:line="276" w:before="120" w:after="120"/>
        <w:ind w:left="3211" w:hanging="0"/>
        <w:contextualSpacing/>
        <w:jc w:val="both"/>
        <w:rPr/>
      </w:pPr>
      <w:r>
        <w:rPr>
          <w:rFonts w:cs="Arial" w:ascii="Arial" w:hAnsi="Arial"/>
          <w:bCs/>
          <w:color w:val="000000"/>
          <w:sz w:val="20"/>
          <w:szCs w:val="20"/>
        </w:rPr>
        <w:t>9.1.3.2 A tentativa de burla será verificada por meio dos vínculos societários, linhas de fornecimento similares, dentre outros.</w:t>
      </w:r>
    </w:p>
    <w:p>
      <w:pPr>
        <w:pStyle w:val="ListParagraph"/>
        <w:numPr>
          <w:ilvl w:val="0"/>
          <w:numId w:val="0"/>
        </w:numPr>
        <w:spacing w:lineRule="auto" w:line="276" w:before="120" w:after="120"/>
        <w:ind w:left="3211" w:hanging="0"/>
        <w:contextualSpacing/>
        <w:jc w:val="both"/>
        <w:rPr>
          <w:rFonts w:ascii="Arial" w:hAnsi="Arial" w:cs="Arial"/>
          <w:bCs/>
          <w:color w:val="000000"/>
          <w:sz w:val="20"/>
          <w:szCs w:val="20"/>
        </w:rPr>
      </w:pPr>
      <w:r>
        <w:rPr>
          <w:rFonts w:cs="Arial" w:ascii="Arial" w:hAnsi="Arial"/>
          <w:bCs/>
          <w:color w:val="000000"/>
          <w:sz w:val="20"/>
          <w:szCs w:val="20"/>
        </w:rPr>
        <w:t>9.1.3.3 O licitante será convocado para manifestação previamente à sua desclassificação.</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9.1.4 Constatada a existência de sanção, o Pregoeiro reputará o licitante inabilitado, por falta de condição de participação.</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9.1.5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numPr>
          <w:ilvl w:val="0"/>
          <w:numId w:val="0"/>
        </w:numPr>
        <w:spacing w:lineRule="auto" w:line="276" w:before="120" w:after="120"/>
        <w:ind w:left="1719" w:hanging="0"/>
        <w:contextualSpacing/>
        <w:jc w:val="both"/>
        <w:rPr/>
      </w:pPr>
      <w:r>
        <w:rPr>
          <w:rFonts w:cs="Arial" w:ascii="Arial" w:hAnsi="Arial"/>
          <w:sz w:val="20"/>
          <w:szCs w:val="20"/>
          <w:lang w:eastAsia="ar-SA"/>
        </w:rPr>
        <w:t xml:space="preserve">9.2 </w:t>
      </w:r>
      <w:r>
        <w:rPr>
          <w:rFonts w:cs="Arial" w:ascii="Arial" w:hAnsi="Arial"/>
          <w:color w:val="000000" w:themeColor="text1"/>
          <w:sz w:val="20"/>
          <w:szCs w:val="20"/>
        </w:rPr>
        <w:t xml:space="preserve">Caso atendidas as condições de participação, </w:t>
      </w:r>
      <w:r>
        <w:rPr>
          <w:rFonts w:cs="Arial" w:ascii="Arial" w:hAnsi="Arial"/>
          <w:sz w:val="20"/>
          <w:szCs w:val="20"/>
        </w:rPr>
        <w:t>a habilitação do licitantes será verificada por meio do SICAF, nos documentos por ele abrangidos</w:t>
      </w:r>
      <w:r>
        <w:rPr>
          <w:rFonts w:cs="Arial" w:ascii="Arial" w:hAnsi="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ListParagraph"/>
        <w:numPr>
          <w:ilvl w:val="0"/>
          <w:numId w:val="0"/>
        </w:numPr>
        <w:spacing w:lineRule="auto" w:line="276" w:before="120" w:after="120"/>
        <w:ind w:left="2358" w:hanging="0"/>
        <w:contextualSpacing/>
        <w:jc w:val="both"/>
        <w:rPr>
          <w:rFonts w:ascii="Arial" w:hAnsi="Arial" w:cs="Arial"/>
          <w:sz w:val="20"/>
          <w:szCs w:val="20"/>
          <w:lang w:eastAsia="ar-SA"/>
        </w:rPr>
      </w:pPr>
      <w:r>
        <w:rPr>
          <w:rFonts w:cs="Arial" w:ascii="Arial" w:hAnsi="Arial"/>
          <w:sz w:val="20"/>
          <w:szCs w:val="20"/>
          <w:lang w:eastAsia="ar-SA"/>
        </w:rPr>
        <w:t>9.2.1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0"/>
          <w:numId w:val="0"/>
        </w:numPr>
        <w:spacing w:lineRule="auto" w:line="276" w:before="120" w:after="120"/>
        <w:ind w:left="1638" w:hanging="0"/>
        <w:jc w:val="both"/>
        <w:rPr>
          <w:rFonts w:ascii="Arial" w:hAnsi="Arial" w:cs="Arial"/>
          <w:color w:val="000000"/>
          <w:sz w:val="20"/>
          <w:szCs w:val="20"/>
          <w:highlight w:val="yellow"/>
        </w:rPr>
      </w:pPr>
      <w:r>
        <w:rPr>
          <w:rFonts w:cs="Arial" w:ascii="Arial" w:hAnsi="Arial"/>
          <w:color w:val="000000"/>
          <w:sz w:val="20"/>
          <w:szCs w:val="20"/>
        </w:rPr>
        <w:t>9.2.2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0"/>
          <w:numId w:val="0"/>
        </w:numPr>
        <w:spacing w:lineRule="auto" w:line="276" w:before="120" w:after="120"/>
        <w:ind w:left="1638" w:hanging="0"/>
        <w:jc w:val="both"/>
        <w:rPr>
          <w:rFonts w:ascii="Arial" w:hAnsi="Arial" w:cs="Arial"/>
          <w:color w:val="000000" w:themeColor="text1"/>
          <w:sz w:val="20"/>
          <w:szCs w:val="20"/>
          <w:highlight w:val="yellow"/>
        </w:rPr>
      </w:pPr>
      <w:r>
        <w:rPr>
          <w:rFonts w:cs="Arial" w:ascii="Arial" w:hAnsi="Arial"/>
          <w:color w:val="000000"/>
          <w:sz w:val="20"/>
          <w:szCs w:val="20"/>
        </w:rPr>
        <w:t>9.2.3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widowControl/>
        <w:numPr>
          <w:ilvl w:val="0"/>
          <w:numId w:val="0"/>
        </w:numPr>
        <w:shd w:val="clear" w:fill="FFFFFF"/>
        <w:spacing w:before="120" w:after="120"/>
        <w:ind w:left="999" w:hanging="0"/>
        <w:rPr>
          <w:rFonts w:ascii="Arial" w:hAnsi="Arial" w:eastAsia="ＭＳ 明朝" w:cs="Arial"/>
          <w:sz w:val="20"/>
          <w:szCs w:val="20"/>
          <w:lang w:val="pt-BR" w:eastAsia="pt-BR" w:bidi="ar-SA"/>
        </w:rPr>
      </w:pPr>
      <w:r>
        <w:rPr>
          <w:rFonts w:eastAsia="ＭＳ 明朝" w:cs="Arial" w:ascii="Arial" w:hAnsi="Arial"/>
          <w:color w:val="000000" w:themeColor="text1"/>
          <w:sz w:val="20"/>
          <w:szCs w:val="20"/>
          <w:lang w:val="pt-BR" w:eastAsia="pt-BR" w:bidi="ar-SA"/>
        </w:rPr>
        <w:t>9.3 Havendo a n</w:t>
      </w:r>
      <w:r>
        <w:rPr>
          <w:rFonts w:eastAsia="ＭＳ 明朝" w:cs="Arial" w:ascii="Arial" w:hAnsi="Arial"/>
          <w:color w:val="000000"/>
          <w:sz w:val="20"/>
          <w:szCs w:val="20"/>
          <w:lang w:val="pt-BR" w:eastAsia="pt-BR" w:bidi="ar-SA"/>
        </w:rPr>
        <w:t>ecessidade de envio de documentos de habilitação complementares</w:t>
      </w:r>
      <w:r>
        <w:rPr>
          <w:rFonts w:eastAsia="ＭＳ 明朝" w:cs="Arial" w:ascii="Arial" w:hAnsi="Arial"/>
          <w:color w:val="000000" w:themeColor="text1"/>
          <w:sz w:val="20"/>
          <w:szCs w:val="20"/>
          <w:lang w:val="pt-BR" w:eastAsia="pt-BR" w:bidi="ar-SA"/>
        </w:rPr>
        <w:t xml:space="preserve">, </w:t>
      </w:r>
      <w:r>
        <w:rPr>
          <w:rFonts w:eastAsia="ＭＳ 明朝" w:cs="Arial" w:ascii="Arial" w:hAnsi="Arial"/>
          <w:color w:val="000000"/>
          <w:sz w:val="20"/>
          <w:szCs w:val="20"/>
          <w:lang w:val="pt-BR" w:eastAsia="pt-BR" w:bidi="ar-SA"/>
        </w:rPr>
        <w:t>necessários à confirmação daqueles exigidos neste Edital e já apresentados, </w:t>
      </w:r>
      <w:r>
        <w:rPr>
          <w:rFonts w:eastAsia="ＭＳ 明朝" w:cs="Arial" w:ascii="Arial" w:hAnsi="Arial"/>
          <w:color w:val="000000" w:themeColor="text1"/>
          <w:sz w:val="20"/>
          <w:szCs w:val="20"/>
          <w:lang w:val="pt-BR" w:eastAsia="pt-BR" w:bidi="ar-SA"/>
        </w:rPr>
        <w:t xml:space="preserve">o licitante será convocado a encaminhá-los, </w:t>
      </w:r>
      <w:r>
        <w:rPr>
          <w:rFonts w:eastAsia="ＭＳ 明朝" w:cs="Arial" w:ascii="Arial" w:hAnsi="Arial"/>
          <w:color w:val="000000"/>
          <w:sz w:val="20"/>
          <w:szCs w:val="20"/>
          <w:lang w:val="pt-BR" w:eastAsia="pt-BR" w:bidi="ar-SA"/>
        </w:rPr>
        <w:t>em formato digital, via sistema,</w:t>
      </w:r>
      <w:r>
        <w:rPr>
          <w:rFonts w:eastAsia="ＭＳ 明朝" w:cs="Arial" w:ascii="Arial" w:hAnsi="Arial"/>
          <w:color w:val="000000" w:themeColor="text1"/>
          <w:sz w:val="20"/>
          <w:szCs w:val="20"/>
          <w:lang w:val="pt-BR" w:eastAsia="pt-BR" w:bidi="ar-SA"/>
        </w:rPr>
        <w:t xml:space="preserve"> no prazo de 02</w:t>
      </w:r>
      <w:r>
        <w:rPr>
          <w:rFonts w:eastAsia="ＭＳ 明朝" w:cs="Arial" w:ascii="Arial" w:hAnsi="Arial"/>
          <w:color w:val="000000"/>
          <w:sz w:val="20"/>
          <w:szCs w:val="20"/>
          <w:lang w:val="pt-BR" w:eastAsia="pt-BR" w:bidi="ar-SA"/>
        </w:rPr>
        <w:t xml:space="preserve"> (duas)</w:t>
      </w:r>
      <w:r>
        <w:rPr>
          <w:rFonts w:eastAsia="ＭＳ 明朝" w:cs="Arial" w:ascii="Arial" w:hAnsi="Arial"/>
          <w:i/>
          <w:iCs/>
          <w:color w:val="000000" w:themeColor="text1"/>
          <w:sz w:val="20"/>
          <w:szCs w:val="20"/>
          <w:lang w:val="pt-BR" w:eastAsia="pt-BR" w:bidi="ar-SA"/>
        </w:rPr>
        <w:t xml:space="preserve"> </w:t>
      </w:r>
      <w:r>
        <w:rPr>
          <w:rFonts w:eastAsia="ＭＳ 明朝" w:cs="Arial" w:ascii="Arial" w:hAnsi="Arial"/>
          <w:color w:val="000000" w:themeColor="text1"/>
          <w:sz w:val="20"/>
          <w:szCs w:val="20"/>
          <w:lang w:val="pt-BR" w:eastAsia="pt-BR" w:bidi="ar-SA"/>
        </w:rPr>
        <w:t>horas, sob pena de inabilitação.</w:t>
      </w:r>
    </w:p>
    <w:p>
      <w:pPr>
        <w:pStyle w:val="Normal"/>
        <w:numPr>
          <w:ilvl w:val="0"/>
          <w:numId w:val="0"/>
        </w:numPr>
        <w:spacing w:lineRule="auto" w:line="276" w:before="120" w:after="120"/>
        <w:ind w:left="999" w:hanging="0"/>
        <w:jc w:val="both"/>
        <w:rPr/>
      </w:pPr>
      <w:r>
        <w:rPr>
          <w:rFonts w:eastAsia="ＭＳ 明朝" w:cs="Arial" w:ascii="Arial" w:hAnsi="Arial"/>
          <w:sz w:val="20"/>
          <w:szCs w:val="20"/>
          <w:lang w:val="pt-BR" w:eastAsia="pt-BR" w:bidi="ar-SA"/>
        </w:rPr>
        <w:t xml:space="preserve">9.4 </w:t>
      </w:r>
      <w:r>
        <w:rPr>
          <w:rFonts w:cs="Arial" w:ascii="Arial" w:hAnsi="Arial"/>
          <w:sz w:val="20"/>
          <w:szCs w:val="20"/>
        </w:rPr>
        <w:t>Somente haverá a necessidade de comprovação do preenchimento de requisitos mediante apresentação dos documentos originais não-digitais quando houver dúvida em relação à integridade do documento digital.</w:t>
      </w:r>
    </w:p>
    <w:p>
      <w:pPr>
        <w:pStyle w:val="ListParagraph"/>
        <w:numPr>
          <w:ilvl w:val="1"/>
          <w:numId w:val="6"/>
        </w:numPr>
        <w:spacing w:lineRule="auto" w:line="276" w:before="120" w:after="120"/>
        <w:contextualSpacing/>
        <w:jc w:val="both"/>
        <w:rPr/>
      </w:pPr>
      <w:r>
        <w:rPr>
          <w:rFonts w:cs="Arial" w:ascii="Arial" w:hAnsi="Arial"/>
          <w:sz w:val="20"/>
          <w:szCs w:val="20"/>
        </w:rPr>
        <w:t>Não serão aceitos documentos de habilitação com indicação de CNPJ/CPF diferentes, salvo aqueles legalmente permitidos.</w:t>
      </w:r>
    </w:p>
    <w:p>
      <w:pPr>
        <w:pStyle w:val="ListParagraph"/>
        <w:numPr>
          <w:ilvl w:val="1"/>
          <w:numId w:val="6"/>
        </w:numPr>
        <w:spacing w:lineRule="auto" w:line="276" w:before="120" w:after="120"/>
        <w:contextualSpacing/>
        <w:jc w:val="both"/>
        <w:rPr>
          <w:rFonts w:ascii="Arial" w:hAnsi="Arial" w:cs="Arial"/>
          <w:sz w:val="20"/>
          <w:szCs w:val="20"/>
        </w:rPr>
      </w:pPr>
      <w:r>
        <w:rPr>
          <w:rFonts w:cs="Arial" w:ascii="Arial" w:hAnsi="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numPr>
          <w:ilvl w:val="2"/>
          <w:numId w:val="6"/>
        </w:numPr>
        <w:spacing w:lineRule="auto" w:line="276" w:before="120" w:after="120"/>
        <w:contextualSpacing/>
        <w:jc w:val="both"/>
        <w:rPr>
          <w:rFonts w:ascii="Arial" w:hAnsi="Arial" w:cs="Arial"/>
          <w:sz w:val="20"/>
          <w:szCs w:val="20"/>
        </w:rPr>
      </w:pPr>
      <w:r>
        <w:rPr>
          <w:rFonts w:cs="Arial" w:ascii="Arial" w:hAnsi="Arial"/>
          <w:sz w:val="20"/>
          <w:szCs w:val="20"/>
        </w:rPr>
        <w:t>Serão aceitos registros de CNPJ de licitante matriz e filial com diferenças de números de documentos pertinentes ao CND e ao CRF/FGTS, quando for comprovada a centralização do recolhimento dessas contribuições.</w:t>
      </w:r>
    </w:p>
    <w:p>
      <w:pPr>
        <w:pStyle w:val="ListParagraph"/>
        <w:numPr>
          <w:ilvl w:val="1"/>
          <w:numId w:val="6"/>
        </w:numPr>
        <w:spacing w:lineRule="auto" w:line="276" w:before="120" w:after="120"/>
        <w:contextualSpacing/>
        <w:jc w:val="both"/>
        <w:rPr>
          <w:rFonts w:ascii="Arial" w:hAnsi="Arial" w:cs="Arial"/>
          <w:sz w:val="20"/>
          <w:szCs w:val="20"/>
          <w:highlight w:val="yellow"/>
        </w:rPr>
      </w:pPr>
      <w:r>
        <w:rPr>
          <w:rFonts w:cs="Arial" w:ascii="Arial" w:hAnsi="Arial"/>
          <w:sz w:val="20"/>
          <w:szCs w:val="20"/>
        </w:rPr>
        <w:t>Ressalvado o disposto no item 5.3, os licitantes deverão encaminhar, nos termos deste Edital, a documentação relacionada nos itens a seguir, para fins de habilitação:</w:t>
      </w:r>
    </w:p>
    <w:p>
      <w:pPr>
        <w:pStyle w:val="ListParagraph"/>
        <w:spacing w:lineRule="auto" w:line="276" w:before="120" w:after="120"/>
        <w:ind w:left="999"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numPr>
          <w:ilvl w:val="0"/>
          <w:numId w:val="0"/>
        </w:numPr>
        <w:spacing w:lineRule="auto" w:line="276" w:before="120" w:after="120"/>
        <w:ind w:left="1719" w:hanging="0"/>
        <w:contextualSpacing/>
        <w:jc w:val="both"/>
        <w:rPr>
          <w:rFonts w:ascii="Arial" w:hAnsi="Arial" w:cs="Arial"/>
          <w:b/>
          <w:b/>
          <w:bCs/>
          <w:color w:val="000000"/>
          <w:sz w:val="20"/>
          <w:szCs w:val="20"/>
        </w:rPr>
      </w:pPr>
      <w:r>
        <w:rPr>
          <w:rFonts w:cs="Arial" w:ascii="Arial" w:hAnsi="Arial"/>
          <w:b/>
          <w:bCs/>
          <w:color w:val="000000"/>
          <w:sz w:val="20"/>
          <w:szCs w:val="20"/>
        </w:rPr>
        <w:t xml:space="preserve">9.8 Habilitação jurídica: </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9.8.1 No caso de empresário individual: inscrição no Registro Público de Empresas Mercantis, a cargo da Junta Comercial da respectiva sede;</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9.8.2 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9.8.4 inscrição no Registro Público de Empresas Mercantis onde opera, com averbação no Registro onde tem sede a matriz, no caso de ser o participante sucursal, filial ou agência;</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9.8.5 No caso de sociedade simples: inscrição do ato constitutivo no Registro Civil das Pessoas Jurídicas do local de sua sede, acompanhada de prova da indicação dos seus administradores;</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0"/>
          <w:numId w:val="0"/>
        </w:numPr>
        <w:spacing w:lineRule="auto" w:line="276" w:before="120" w:after="120"/>
        <w:ind w:left="2772" w:hanging="0"/>
        <w:contextualSpacing/>
        <w:jc w:val="both"/>
        <w:rPr>
          <w:rFonts w:ascii="Arial" w:hAnsi="Arial" w:cs="Arial"/>
          <w:bCs/>
          <w:i/>
          <w:i/>
          <w:color w:val="FF0000"/>
          <w:sz w:val="20"/>
          <w:szCs w:val="20"/>
        </w:rPr>
      </w:pPr>
      <w:r>
        <w:rPr>
          <w:rFonts w:cs="Arial" w:ascii="Arial" w:hAnsi="Arial"/>
          <w:bCs/>
          <w:i w:val="false"/>
          <w:iCs w:val="false"/>
          <w:color w:val="000000"/>
          <w:sz w:val="20"/>
          <w:szCs w:val="20"/>
        </w:rPr>
        <w:t>9.8.7 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ListParagraph"/>
        <w:numPr>
          <w:ilvl w:val="0"/>
          <w:numId w:val="0"/>
        </w:numPr>
        <w:spacing w:lineRule="auto" w:line="276" w:before="120" w:after="120"/>
        <w:ind w:left="2772" w:hanging="0"/>
        <w:contextualSpacing/>
        <w:jc w:val="both"/>
        <w:rPr>
          <w:rFonts w:ascii="Arial" w:hAnsi="Arial" w:cs="Arial"/>
          <w:bCs/>
          <w:i/>
          <w:i/>
          <w:color w:val="FF0000"/>
          <w:sz w:val="20"/>
          <w:szCs w:val="20"/>
        </w:rPr>
      </w:pPr>
      <w:r>
        <w:rPr>
          <w:rFonts w:cs="Arial" w:ascii="Arial" w:hAnsi="Arial"/>
          <w:bCs/>
          <w:i w:val="false"/>
          <w:iCs w:val="false"/>
          <w:color w:val="000000"/>
          <w:sz w:val="20"/>
          <w:szCs w:val="20"/>
        </w:rPr>
        <w:t>9.8.8 No caso de produtor rural: matrícula no Cadastro Específico do INSS – CEI, que comprove a qualificação como produtor rural pessoa física, nos termos da Instrução Normativa RFB n. 971, de 2009 (arts. 17 a 19 e 165).</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9.8.9 No caso de empresa ou sociedade estrangeira em funcionamento no País: decreto de autorização;</w:t>
      </w:r>
    </w:p>
    <w:p>
      <w:pPr>
        <w:pStyle w:val="ListParagraph"/>
        <w:numPr>
          <w:ilvl w:val="0"/>
          <w:numId w:val="0"/>
        </w:numPr>
        <w:spacing w:lineRule="auto" w:line="276" w:before="120" w:after="120"/>
        <w:ind w:left="2772" w:hanging="0"/>
        <w:contextualSpacing/>
        <w:jc w:val="both"/>
        <w:rPr/>
      </w:pPr>
      <w:r>
        <w:rPr>
          <w:rFonts w:cs="Arial" w:ascii="Arial" w:hAnsi="Arial"/>
          <w:bCs/>
          <w:color w:val="000000"/>
          <w:sz w:val="20"/>
          <w:szCs w:val="20"/>
        </w:rPr>
        <w:t>9.8.10 Os documentos acima deverão estar acompanhados de todas as alterações ou da consolidação respectiva;</w:t>
      </w:r>
    </w:p>
    <w:p>
      <w:pPr>
        <w:pStyle w:val="ListParagraph"/>
        <w:numPr>
          <w:ilvl w:val="0"/>
          <w:numId w:val="0"/>
        </w:numPr>
        <w:spacing w:lineRule="auto" w:line="276" w:before="120" w:after="120"/>
        <w:ind w:left="1424" w:hanging="0"/>
        <w:contextualSpacing/>
        <w:jc w:val="both"/>
        <w:rPr>
          <w:rFonts w:ascii="Arial" w:hAnsi="Arial" w:cs="Arial"/>
          <w:b/>
          <w:b/>
          <w:bCs/>
          <w:color w:val="000000"/>
          <w:sz w:val="20"/>
          <w:szCs w:val="20"/>
        </w:rPr>
      </w:pPr>
      <w:r>
        <w:rPr>
          <w:rFonts w:cs="Arial" w:ascii="Arial" w:hAnsi="Arial"/>
          <w:b/>
          <w:bCs/>
          <w:color w:val="000000"/>
          <w:sz w:val="20"/>
          <w:szCs w:val="20"/>
        </w:rPr>
        <w:t xml:space="preserve">9.9 Regularidade fiscal </w:t>
      </w:r>
      <w:r>
        <w:rPr>
          <w:rFonts w:cs="Arial" w:ascii="Arial" w:hAnsi="Arial"/>
          <w:b/>
          <w:bCs/>
          <w:sz w:val="20"/>
          <w:szCs w:val="20"/>
        </w:rPr>
        <w:t>e trabalhista</w:t>
      </w:r>
      <w:r>
        <w:rPr>
          <w:rFonts w:cs="Arial" w:ascii="Arial" w:hAnsi="Arial"/>
          <w:b/>
          <w:bCs/>
          <w:color w:val="0000FF"/>
          <w:sz w:val="20"/>
          <w:szCs w:val="20"/>
        </w:rPr>
        <w:t>:</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lang w:eastAsia="en-US"/>
        </w:rPr>
      </w:pPr>
      <w:r>
        <w:rPr>
          <w:rFonts w:cs="Arial" w:ascii="Arial" w:hAnsi="Arial"/>
          <w:sz w:val="20"/>
          <w:szCs w:val="20"/>
          <w:lang w:eastAsia="en-US"/>
        </w:rPr>
        <w:t>9.9.1 prova de inscrição no Cadastro Nacional de Pessoas Jurídicas ou no Cadastro de Pessoas Físicas, conforme o caso;</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rPr>
        <w:t>9.9.2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lang w:eastAsia="en-US"/>
        </w:rPr>
        <w:t>9.9.3 prova de regularidade com o Fundo de Garantia do Tempo de Serviço (FGTS);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lang w:eastAsia="en-US"/>
        </w:rPr>
        <w:t>9.9.4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9.9.5 prova de inscrição no cadastro de contribuintes estadual, relativo ao domicílio ou sede do licitante, pertinente ao seu ramo de atividade e compatível com o objeto contratual; </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sz w:val="20"/>
          <w:szCs w:val="20"/>
        </w:rPr>
        <w:t>9.9.6 prova de regularidade com a Fazenda Estadual do domicílio ou sede do licitante, relativa à atividade em cujo exercício contrata ou concorre;</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 w:val="false"/>
          <w:bCs w:val="false"/>
          <w:color w:val="000000"/>
          <w:sz w:val="20"/>
          <w:szCs w:val="20"/>
          <w:u w:val="none"/>
        </w:rPr>
        <w:t>9.9.7</w:t>
      </w:r>
      <w:r>
        <w:rPr>
          <w:rFonts w:cs="Arial" w:ascii="Arial" w:hAnsi="Arial"/>
          <w:b/>
          <w:bCs/>
          <w:color w:val="7030A0"/>
          <w:sz w:val="20"/>
          <w:szCs w:val="20"/>
          <w:u w:val="single"/>
        </w:rPr>
        <w:t xml:space="preserve"> </w:t>
      </w:r>
      <w:r>
        <w:rPr>
          <w:rFonts w:cs="Arial" w:ascii="Arial" w:hAnsi="Arial"/>
          <w:color w:val="000000"/>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lang w:eastAsia="en-US" w:bidi="pt-BR"/>
        </w:rPr>
        <w:t xml:space="preserve">9.9.8 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ListParagraph"/>
        <w:numPr>
          <w:ilvl w:val="0"/>
          <w:numId w:val="0"/>
        </w:numPr>
        <w:spacing w:lineRule="auto" w:line="276" w:before="120" w:after="120"/>
        <w:ind w:left="1424" w:hanging="0"/>
        <w:contextualSpacing/>
        <w:jc w:val="both"/>
        <w:rPr/>
      </w:pPr>
      <w:r>
        <w:rPr>
          <w:rFonts w:cs="Arial" w:ascii="Arial" w:hAnsi="Arial"/>
          <w:b/>
          <w:bCs/>
          <w:i w:val="false"/>
          <w:iCs w:val="false"/>
          <w:color w:val="000000"/>
          <w:sz w:val="20"/>
          <w:szCs w:val="20"/>
        </w:rPr>
        <w:t xml:space="preserve">9.10 </w:t>
      </w:r>
      <w:r>
        <w:rPr>
          <w:rFonts w:cs="Arial" w:ascii="Arial" w:hAnsi="Arial"/>
          <w:b/>
          <w:color w:val="000000"/>
          <w:sz w:val="20"/>
          <w:szCs w:val="20"/>
        </w:rPr>
        <w:t>Qualificação  Econômico-Financeira</w:t>
      </w:r>
      <w:r>
        <w:rPr>
          <w:rFonts w:cs="Arial" w:ascii="Arial" w:hAnsi="Arial"/>
          <w:color w:val="000000"/>
          <w:sz w:val="20"/>
          <w:szCs w:val="20"/>
        </w:rPr>
        <w:t>.</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
          <w:bCs/>
          <w:color w:val="00000A"/>
          <w:sz w:val="20"/>
          <w:szCs w:val="20"/>
        </w:rPr>
        <w:t xml:space="preserve">9.10.1 </w:t>
      </w:r>
      <w:r>
        <w:rPr>
          <w:rFonts w:cs="Arial" w:ascii="Arial" w:hAnsi="Arial"/>
          <w:color w:val="000000"/>
          <w:sz w:val="20"/>
          <w:szCs w:val="20"/>
        </w:rPr>
        <w:t>certidão negativa de falência expedida pelo distribuidor da sede da pessoa jurídica;</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9.10.2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0"/>
          <w:numId w:val="0"/>
        </w:numPr>
        <w:spacing w:lineRule="auto" w:line="276" w:before="120" w:after="120"/>
        <w:ind w:left="4192" w:hanging="0"/>
        <w:contextualSpacing/>
        <w:jc w:val="both"/>
        <w:rPr>
          <w:rFonts w:ascii="Arial" w:hAnsi="Arial" w:cs="Arial"/>
          <w:color w:val="000000"/>
          <w:sz w:val="20"/>
          <w:szCs w:val="20"/>
          <w:lang w:eastAsia="en-US"/>
        </w:rPr>
      </w:pPr>
      <w:r>
        <w:rPr>
          <w:rFonts w:cs="Arial" w:ascii="Arial" w:hAnsi="Arial"/>
          <w:bCs/>
          <w:iCs/>
          <w:color w:val="000000"/>
          <w:sz w:val="20"/>
          <w:szCs w:val="20"/>
        </w:rPr>
        <w:t>9.10.2.1 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0"/>
          <w:numId w:val="0"/>
        </w:numPr>
        <w:spacing w:lineRule="auto" w:line="276" w:before="120" w:after="120"/>
        <w:ind w:left="4192"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9.10.2.2 no caso de empresa constituída no exercício social vigente, admite-se a apresentação de balanço patrimonial e demonstrações contábeis referentes ao período de existência da sociedade;</w:t>
      </w:r>
    </w:p>
    <w:p>
      <w:pPr>
        <w:pStyle w:val="ListParagraph"/>
        <w:numPr>
          <w:ilvl w:val="0"/>
          <w:numId w:val="0"/>
        </w:numPr>
        <w:spacing w:lineRule="auto" w:line="276" w:before="120" w:after="120"/>
        <w:ind w:left="4192"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9.10.2.3 é admissível o balanço intermediário, se decorrer de lei ou contrato social/estatuto social.</w:t>
      </w:r>
    </w:p>
    <w:p>
      <w:pPr>
        <w:pStyle w:val="ListParagraph"/>
        <w:numPr>
          <w:ilvl w:val="0"/>
          <w:numId w:val="0"/>
        </w:numPr>
        <w:spacing w:lineRule="auto" w:line="276" w:before="120" w:after="120"/>
        <w:ind w:left="4192" w:hanging="0"/>
        <w:contextualSpacing/>
        <w:jc w:val="both"/>
        <w:rPr/>
      </w:pPr>
      <w:r>
        <w:rPr>
          <w:rFonts w:cs="Arial" w:ascii="Arial" w:hAnsi="Arial"/>
          <w:color w:val="000000"/>
          <w:sz w:val="20"/>
          <w:szCs w:val="20"/>
          <w:lang w:eastAsia="en-US"/>
        </w:rPr>
        <w:t>9.10.2.4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9.10.3 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3" w:type="dxa"/>
        <w:tblCellMar>
          <w:top w:w="0" w:type="dxa"/>
          <w:left w:w="11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LG =</w:t>
            </w:r>
          </w:p>
        </w:tc>
        <w:tc>
          <w:tcPr>
            <w:tcW w:w="4252" w:type="dxa"/>
            <w:tcBorders>
              <w:top w:val="nil"/>
              <w:left w:val="nil"/>
              <w:right w:val="nil"/>
              <w:insideV w:val="nil"/>
            </w:tcBorders>
            <w:shd w:fill="auto" w:val="clear"/>
            <w:vAlign w:val="bottom"/>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252" w:type="dxa"/>
            <w:tcBorders>
              <w:top w:val="nil"/>
              <w:left w:val="nil"/>
              <w:bottom w:val="nil"/>
              <w:right w:val="nil"/>
              <w:insideH w:val="nil"/>
              <w:insideV w:val="nil"/>
            </w:tcBorders>
            <w:shd w:fill="auto" w:val="clear"/>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3" w:type="dxa"/>
        <w:tblCellMar>
          <w:top w:w="0" w:type="dxa"/>
          <w:left w:w="118" w:type="dxa"/>
          <w:bottom w:w="0" w:type="dxa"/>
          <w:right w:w="108" w:type="dxa"/>
        </w:tblCellMar>
        <w:tblLook w:firstRow="1" w:noVBand="1" w:lastRow="0" w:firstColumn="1" w:lastColumn="0" w:noHBand="0" w:val="04a0"/>
      </w:tblPr>
      <w:tblGrid>
        <w:gridCol w:w="2234"/>
        <w:gridCol w:w="4394"/>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SG =</w:t>
            </w:r>
          </w:p>
        </w:tc>
        <w:tc>
          <w:tcPr>
            <w:tcW w:w="4394"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Total</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394"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3" w:type="dxa"/>
        <w:tblCellMar>
          <w:top w:w="0" w:type="dxa"/>
          <w:left w:w="11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LC =</w:t>
            </w:r>
          </w:p>
        </w:tc>
        <w:tc>
          <w:tcPr>
            <w:tcW w:w="2550"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2550"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Cs/>
          <w:sz w:val="20"/>
          <w:szCs w:val="20"/>
        </w:rPr>
        <w:t xml:space="preserve">9.10.4 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ascii="Arial" w:hAnsi="Arial"/>
          <w:sz w:val="20"/>
          <w:szCs w:val="20"/>
          <w:lang w:eastAsia="en-US"/>
        </w:rPr>
        <w:t xml:space="preserve"> </w:t>
      </w:r>
      <w:r>
        <w:rPr>
          <w:rFonts w:eastAsia="ＭＳ 明朝" w:cs="Arial" w:ascii="Arial" w:hAnsi="Arial" w:eastAsiaTheme="minorEastAsia"/>
          <w:bCs/>
          <w:color w:val="00000A"/>
          <w:sz w:val="20"/>
          <w:szCs w:val="20"/>
          <w:lang w:val="pt-BR" w:eastAsia="pt-BR" w:bidi="ar-SA"/>
        </w:rPr>
        <w:t>10% (dez por cento) d</w:t>
      </w:r>
      <w:r>
        <w:rPr>
          <w:rFonts w:cs="Arial" w:ascii="Arial" w:hAnsi="Arial"/>
          <w:bCs/>
          <w:sz w:val="20"/>
          <w:szCs w:val="20"/>
        </w:rPr>
        <w:t>o valor estimado da contratação ou do item pertinente</w:t>
      </w:r>
      <w:r>
        <w:rPr>
          <w:rFonts w:cs="Arial" w:ascii="Arial" w:hAnsi="Arial"/>
          <w:sz w:val="20"/>
          <w:szCs w:val="20"/>
          <w:lang w:eastAsia="en-US"/>
        </w:rPr>
        <w:t xml:space="preserve">. </w:t>
      </w:r>
    </w:p>
    <w:p>
      <w:pPr>
        <w:pStyle w:val="ListParagraph"/>
        <w:numPr>
          <w:ilvl w:val="0"/>
          <w:numId w:val="0"/>
        </w:numPr>
        <w:spacing w:lineRule="auto" w:line="276" w:before="120" w:after="120"/>
        <w:ind w:left="1424" w:hanging="0"/>
        <w:contextualSpacing/>
        <w:jc w:val="both"/>
        <w:rPr/>
      </w:pPr>
      <w:r>
        <w:rPr>
          <w:rFonts w:cs="Arial" w:ascii="Arial" w:hAnsi="Arial"/>
          <w:b/>
          <w:color w:val="000000"/>
          <w:sz w:val="20"/>
          <w:szCs w:val="20"/>
        </w:rPr>
        <w:t>9.11 Qualificação</w:t>
      </w:r>
      <w:r>
        <w:rPr>
          <w:rFonts w:cs="Arial" w:ascii="Arial" w:hAnsi="Arial"/>
          <w:b/>
          <w:bCs/>
          <w:iCs/>
          <w:color w:val="000000"/>
          <w:sz w:val="20"/>
          <w:szCs w:val="20"/>
        </w:rPr>
        <w:t xml:space="preserve"> Técnica  </w:t>
      </w:r>
    </w:p>
    <w:p>
      <w:pPr>
        <w:pStyle w:val="ListParagraph"/>
        <w:spacing w:lineRule="auto" w:line="276" w:before="120" w:after="120"/>
        <w:ind w:left="1071" w:hanging="0"/>
        <w:contextualSpacing/>
        <w:jc w:val="both"/>
        <w:rPr>
          <w:rFonts w:ascii="Arial" w:hAnsi="Arial" w:cs="Arial"/>
          <w:strike/>
          <w:color w:val="000000"/>
          <w:sz w:val="20"/>
          <w:szCs w:val="20"/>
          <w:highlight w:val="yellow"/>
        </w:rPr>
      </w:pPr>
      <w:r>
        <w:rPr>
          <w:rFonts w:cs="Arial" w:ascii="Arial" w:hAnsi="Arial"/>
          <w:strike/>
          <w:color w:val="000000"/>
          <w:sz w:val="20"/>
          <w:szCs w:val="20"/>
          <w:highlight w:val="yellow"/>
        </w:rPr>
      </w:r>
    </w:p>
    <w:p>
      <w:pPr>
        <w:pStyle w:val="ListParagraph"/>
        <w:numPr>
          <w:ilvl w:val="0"/>
          <w:numId w:val="0"/>
        </w:numPr>
        <w:tabs>
          <w:tab w:val="left" w:pos="1440" w:leader="none"/>
        </w:tabs>
        <w:snapToGrid w:val="false"/>
        <w:spacing w:lineRule="auto" w:line="276" w:before="120" w:after="120"/>
        <w:ind w:left="2358" w:hanging="0"/>
        <w:contextualSpacing/>
        <w:jc w:val="both"/>
        <w:rPr/>
      </w:pPr>
      <w:r>
        <w:rPr>
          <w:rFonts w:cs="Arial" w:ascii="Arial" w:hAnsi="Arial"/>
          <w:color w:val="00000A"/>
          <w:sz w:val="20"/>
          <w:szCs w:val="20"/>
        </w:rPr>
        <w:t xml:space="preserve">9.11.1 </w:t>
      </w:r>
      <w:r>
        <w:rPr>
          <w:rFonts w:cs="Arial" w:ascii="Arial" w:hAnsi="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widowControl/>
        <w:numPr>
          <w:ilvl w:val="0"/>
          <w:numId w:val="0"/>
        </w:numPr>
        <w:tabs>
          <w:tab w:val="left" w:pos="1440" w:leader="none"/>
        </w:tabs>
        <w:bidi w:val="0"/>
        <w:snapToGrid w:val="false"/>
        <w:spacing w:lineRule="auto" w:line="276" w:before="120" w:after="120"/>
        <w:ind w:left="3285" w:right="0" w:hanging="0"/>
        <w:contextualSpacing/>
        <w:jc w:val="both"/>
        <w:rPr>
          <w:rFonts w:ascii="Arial" w:hAnsi="Arial" w:cs="Arial"/>
          <w:color w:val="000000"/>
          <w:sz w:val="20"/>
          <w:szCs w:val="20"/>
        </w:rPr>
      </w:pPr>
      <w:r>
        <w:rPr>
          <w:rFonts w:cs="Arial" w:ascii="Arial" w:hAnsi="Arial"/>
          <w:color w:val="000000"/>
          <w:sz w:val="20"/>
          <w:szCs w:val="20"/>
        </w:rPr>
        <w:t>9.11.2 Para fins da comprovação de que trata este subitem, os atestados deverão dizer respeito a contratos executados com as seguintes características mínimas:</w:t>
      </w:r>
    </w:p>
    <w:p>
      <w:pPr>
        <w:pStyle w:val="ListParagraph"/>
        <w:numPr>
          <w:ilvl w:val="0"/>
          <w:numId w:val="0"/>
        </w:numPr>
        <w:tabs>
          <w:tab w:val="left" w:pos="1440" w:leader="none"/>
        </w:tabs>
        <w:snapToGrid w:val="false"/>
        <w:spacing w:lineRule="auto" w:line="276" w:before="120" w:after="120"/>
        <w:ind w:left="4784" w:hanging="0"/>
        <w:contextualSpacing/>
        <w:jc w:val="both"/>
        <w:rPr>
          <w:rFonts w:ascii="Arial" w:hAnsi="Arial" w:eastAsia="ＭＳ 明朝" w:cs="Arial"/>
          <w:color w:val="000000"/>
          <w:sz w:val="20"/>
          <w:szCs w:val="20"/>
          <w:lang w:val="pt-BR" w:eastAsia="pt-BR" w:bidi="ar-SA"/>
        </w:rPr>
      </w:pPr>
      <w:r>
        <w:rPr>
          <w:rFonts w:eastAsia="ＭＳ 明朝" w:cs="Arial" w:ascii="Arial" w:hAnsi="Arial"/>
          <w:color w:val="000000"/>
          <w:sz w:val="20"/>
          <w:szCs w:val="20"/>
          <w:lang w:val="pt-BR" w:eastAsia="pt-BR" w:bidi="ar-SA"/>
        </w:rPr>
        <w:t>9.11.2.1 Descrição de itens de natureza similar aos que são objeto desta licitação, quais sejam, materiais de consumo e permanentes para laboratórios.</w:t>
      </w:r>
    </w:p>
    <w:p>
      <w:pPr>
        <w:pStyle w:val="ListParagraph"/>
        <w:numPr>
          <w:ilvl w:val="0"/>
          <w:numId w:val="0"/>
        </w:numPr>
        <w:tabs>
          <w:tab w:val="left" w:pos="1440" w:leader="none"/>
        </w:tabs>
        <w:snapToGrid w:val="false"/>
        <w:spacing w:lineRule="auto" w:line="276" w:before="120" w:after="120"/>
        <w:ind w:left="2358" w:hanging="0"/>
        <w:contextualSpacing/>
        <w:jc w:val="both"/>
        <w:rPr>
          <w:rFonts w:ascii="Arial" w:hAnsi="Arial" w:cs="Arial"/>
          <w:bCs/>
          <w:sz w:val="20"/>
          <w:szCs w:val="20"/>
        </w:rPr>
      </w:pPr>
      <w:r>
        <w:rPr>
          <w:rFonts w:cs="Arial" w:ascii="Arial" w:hAnsi="Arial"/>
          <w:bCs/>
          <w:sz w:val="20"/>
          <w:szCs w:val="20"/>
        </w:rPr>
      </w:r>
    </w:p>
    <w:p>
      <w:pPr>
        <w:pStyle w:val="ListParagraph"/>
        <w:numPr>
          <w:ilvl w:val="0"/>
          <w:numId w:val="0"/>
        </w:numPr>
        <w:tabs>
          <w:tab w:val="left" w:pos="1440" w:leader="none"/>
        </w:tabs>
        <w:snapToGrid w:val="false"/>
        <w:spacing w:lineRule="auto" w:line="276" w:before="120" w:after="120"/>
        <w:ind w:left="1719" w:hanging="0"/>
        <w:contextualSpacing/>
        <w:jc w:val="both"/>
        <w:rPr>
          <w:rFonts w:ascii="Arial" w:hAnsi="Arial" w:cs="Arial"/>
          <w:b/>
          <w:b/>
          <w:bCs/>
          <w:sz w:val="20"/>
          <w:szCs w:val="20"/>
        </w:rPr>
      </w:pPr>
      <w:r>
        <w:rPr>
          <w:rFonts w:cs="Arial" w:ascii="Arial" w:hAnsi="Arial"/>
          <w:bCs/>
          <w:sz w:val="20"/>
          <w:szCs w:val="20"/>
        </w:rPr>
        <w:t>9.13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numPr>
          <w:ilvl w:val="0"/>
          <w:numId w:val="0"/>
        </w:numPr>
        <w:tabs>
          <w:tab w:val="left" w:pos="1440" w:leader="none"/>
        </w:tabs>
        <w:snapToGrid w:val="false"/>
        <w:spacing w:lineRule="auto" w:line="276" w:before="120" w:after="120"/>
        <w:ind w:left="1719" w:hanging="0"/>
        <w:contextualSpacing/>
        <w:jc w:val="both"/>
        <w:rPr/>
      </w:pPr>
      <w:r>
        <w:rPr>
          <w:rFonts w:cs="Arial" w:ascii="Arial" w:hAnsi="Arial"/>
          <w:bCs/>
          <w:color w:val="000000"/>
          <w:sz w:val="20"/>
          <w:szCs w:val="20"/>
        </w:rPr>
        <w:t>9.14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0"/>
          <w:numId w:val="0"/>
        </w:numPr>
        <w:spacing w:lineRule="auto" w:line="276" w:before="120" w:after="120"/>
        <w:ind w:left="2358" w:hanging="0"/>
        <w:contextualSpacing/>
        <w:jc w:val="both"/>
        <w:rPr>
          <w:rFonts w:ascii="Arial" w:hAnsi="Arial" w:cs="Arial"/>
          <w:bCs/>
          <w:color w:val="000000"/>
          <w:sz w:val="20"/>
          <w:szCs w:val="20"/>
        </w:rPr>
      </w:pPr>
      <w:r>
        <w:rPr>
          <w:rFonts w:cs="Arial" w:ascii="Arial" w:hAnsi="Arial"/>
          <w:bCs/>
          <w:color w:val="000000"/>
          <w:sz w:val="20"/>
          <w:szCs w:val="20"/>
        </w:rPr>
        <w:t>9.14.1 A declaração do vencedor acontecerá no momento imediatamente posterior à fase de habilitação.</w:t>
      </w:r>
    </w:p>
    <w:p>
      <w:pPr>
        <w:pStyle w:val="ListParagraph"/>
        <w:numPr>
          <w:ilvl w:val="0"/>
          <w:numId w:val="0"/>
        </w:numPr>
        <w:spacing w:lineRule="auto" w:line="276" w:before="120" w:after="120"/>
        <w:ind w:left="1424" w:hanging="0"/>
        <w:contextualSpacing/>
        <w:jc w:val="both"/>
        <w:rPr>
          <w:rFonts w:ascii="Arial" w:hAnsi="Arial" w:cs="Arial"/>
          <w:bCs/>
          <w:color w:val="000000"/>
          <w:sz w:val="20"/>
          <w:szCs w:val="20"/>
        </w:rPr>
      </w:pPr>
      <w:r>
        <w:rPr>
          <w:rFonts w:cs="Arial" w:ascii="Arial" w:hAnsi="Arial"/>
          <w:bCs/>
          <w:sz w:val="20"/>
          <w:szCs w:val="20"/>
        </w:rPr>
        <w:t xml:space="preserve">9.15 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0"/>
          <w:numId w:val="0"/>
        </w:numPr>
        <w:spacing w:lineRule="auto" w:line="276" w:before="120" w:after="120"/>
        <w:ind w:left="1424" w:hanging="0"/>
        <w:contextualSpacing/>
        <w:jc w:val="both"/>
        <w:rPr>
          <w:rFonts w:ascii="Arial" w:hAnsi="Arial" w:cs="Arial"/>
          <w:bCs/>
          <w:color w:val="000000"/>
          <w:sz w:val="20"/>
          <w:szCs w:val="20"/>
        </w:rPr>
      </w:pPr>
      <w:r>
        <w:rPr>
          <w:rFonts w:cs="Arial" w:ascii="Arial" w:hAnsi="Arial"/>
          <w:bCs/>
          <w:color w:val="000000"/>
          <w:sz w:val="20"/>
          <w:szCs w:val="20"/>
        </w:rPr>
        <w:t>9.16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0"/>
          <w:szCs w:val="20"/>
        </w:rPr>
        <w:t xml:space="preserve">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9.17 Havendo necessidade de analisar minuciosamente os documentos exigidos, o Pregoeiro suspenderá a sessão, informando no “chat” a nova data e horário para a continuidade da mesma.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9.18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9.19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0"/>
          <w:numId w:val="0"/>
        </w:numPr>
        <w:spacing w:lineRule="auto" w:line="276" w:before="120" w:after="120"/>
        <w:ind w:left="999" w:hanging="0"/>
        <w:jc w:val="both"/>
        <w:rPr>
          <w:rFonts w:ascii="Arial" w:hAnsi="Arial" w:cs="Arial"/>
          <w:color w:val="FF0000"/>
          <w:sz w:val="20"/>
          <w:szCs w:val="20"/>
        </w:rPr>
      </w:pPr>
      <w:r>
        <w:rPr>
          <w:rFonts w:cs="Arial" w:ascii="Arial" w:hAnsi="Arial"/>
          <w:color w:val="000000"/>
          <w:sz w:val="20"/>
          <w:szCs w:val="20"/>
        </w:rPr>
        <w:t>9.20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0"/>
          <w:numId w:val="0"/>
        </w:numPr>
        <w:spacing w:lineRule="auto" w:line="276" w:before="120" w:after="120"/>
        <w:ind w:left="1638" w:hanging="0"/>
        <w:jc w:val="both"/>
        <w:rPr>
          <w:rFonts w:ascii="Arial" w:hAnsi="Arial" w:cs="Arial"/>
          <w:color w:val="FF0000"/>
          <w:sz w:val="20"/>
          <w:szCs w:val="20"/>
        </w:rPr>
      </w:pPr>
      <w:r>
        <w:rPr>
          <w:rFonts w:cs="Arial" w:ascii="Arial" w:hAnsi="Arial"/>
          <w:color w:val="000000"/>
          <w:sz w:val="20"/>
          <w:szCs w:val="20"/>
        </w:rPr>
        <w:t>9.20.1 Não havendo a comprovação cumulativa dos requisitos de habilitação, a inabilitação recairá sobre o(s) item(ns) de menor(es) valor(es) cuja retirada(s) seja(m) suficiente(s) para a habilitação do licitante nos remanescentes.</w:t>
      </w:r>
    </w:p>
    <w:p>
      <w:pPr>
        <w:pStyle w:val="ListParagraph"/>
        <w:tabs>
          <w:tab w:val="left" w:pos="2190" w:leader="none"/>
        </w:tabs>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ab/>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9.21 Constatado o atendimento às exigências de habilitação fixadas no Edital, o licitante será declarado vencedor.</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i/>
          <w:i/>
          <w:color w:val="00000A"/>
          <w:lang w:eastAsia="en-US"/>
        </w:rPr>
      </w:pPr>
      <w:r>
        <w:rPr>
          <w:rFonts w:cs="Arial" w:ascii="Arial" w:hAnsi="Arial"/>
          <w:i w:val="false"/>
          <w:iCs w:val="false"/>
          <w:color w:val="00000A"/>
          <w:lang w:eastAsia="en-US"/>
        </w:rPr>
        <w:t xml:space="preserve">10. DO </w:t>
      </w:r>
      <w:r>
        <w:rPr>
          <w:rFonts w:cs="Arial" w:ascii="Arial" w:hAnsi="Arial"/>
          <w:i w:val="false"/>
          <w:iCs w:val="false"/>
          <w:color w:val="00000A"/>
        </w:rPr>
        <w:t>ENCAMINHAMENTO</w:t>
      </w:r>
      <w:r>
        <w:rPr>
          <w:rFonts w:cs="Arial" w:ascii="Arial" w:hAnsi="Arial"/>
          <w:i w:val="false"/>
          <w:iCs w:val="false"/>
          <w:color w:val="00000A"/>
          <w:lang w:eastAsia="en-US"/>
        </w:rPr>
        <w:t xml:space="preserve"> DA PROPOSTA VENCEDORA</w:t>
      </w:r>
    </w:p>
    <w:p>
      <w:pPr>
        <w:pStyle w:val="ListParagraph"/>
        <w:numPr>
          <w:ilvl w:val="0"/>
          <w:numId w:val="0"/>
        </w:numPr>
        <w:spacing w:lineRule="auto" w:line="276" w:before="120" w:after="120"/>
        <w:ind w:left="1719" w:hanging="0"/>
        <w:contextualSpacing/>
        <w:jc w:val="both"/>
        <w:rPr>
          <w:i w:val="false"/>
          <w:i w:val="false"/>
          <w:iCs w:val="false"/>
          <w:color w:val="000000"/>
        </w:rPr>
      </w:pPr>
      <w:r>
        <w:rPr>
          <w:rFonts w:cs="Arial" w:ascii="Arial" w:hAnsi="Arial"/>
          <w:i w:val="false"/>
          <w:iCs w:val="false"/>
          <w:color w:val="000000"/>
          <w:sz w:val="20"/>
          <w:szCs w:val="20"/>
        </w:rPr>
        <w:t>10.1 A proposta final do licitante declarado vencedor deverá ser encaminhada no prazo de 02 (duas)</w:t>
      </w:r>
      <w:r>
        <w:rPr>
          <w:rFonts w:cs="Arial" w:ascii="Arial" w:hAnsi="Arial"/>
          <w:bCs/>
          <w:i w:val="false"/>
          <w:iCs w:val="false"/>
          <w:color w:val="000000"/>
          <w:sz w:val="20"/>
          <w:szCs w:val="20"/>
        </w:rPr>
        <w:t xml:space="preserve"> horas</w:t>
      </w:r>
      <w:r>
        <w:rPr>
          <w:rFonts w:cs="Arial" w:ascii="Arial" w:hAnsi="Arial"/>
          <w:b/>
          <w:i w:val="false"/>
          <w:iCs w:val="false"/>
          <w:color w:val="000000"/>
          <w:sz w:val="20"/>
          <w:szCs w:val="20"/>
        </w:rPr>
        <w:t>,</w:t>
      </w:r>
      <w:r>
        <w:rPr>
          <w:rFonts w:cs="Arial" w:ascii="Arial" w:hAnsi="Arial"/>
          <w:b/>
          <w:i w:val="false"/>
          <w:iCs w:val="false"/>
          <w:color w:val="000000" w:themeTint="66"/>
          <w:sz w:val="20"/>
          <w:szCs w:val="20"/>
        </w:rPr>
        <w:t xml:space="preserve"> </w:t>
      </w:r>
      <w:r>
        <w:rPr>
          <w:rFonts w:cs="Arial" w:ascii="Arial" w:hAnsi="Arial"/>
          <w:i w:val="false"/>
          <w:iCs w:val="false"/>
          <w:color w:val="000000"/>
          <w:sz w:val="20"/>
          <w:szCs w:val="20"/>
        </w:rPr>
        <w:t xml:space="preserve"> a contar da solicitação do Pregoeiro no sistema eletrônico e deverá:</w:t>
      </w:r>
    </w:p>
    <w:p>
      <w:pPr>
        <w:pStyle w:val="Normal"/>
        <w:numPr>
          <w:ilvl w:val="0"/>
          <w:numId w:val="0"/>
        </w:numPr>
        <w:spacing w:lineRule="auto" w:line="276" w:before="120" w:after="120"/>
        <w:ind w:left="2772" w:hanging="0"/>
        <w:jc w:val="both"/>
        <w:rPr>
          <w:i w:val="false"/>
          <w:i w:val="false"/>
          <w:iCs w:val="false"/>
          <w:color w:val="000000"/>
        </w:rPr>
      </w:pPr>
      <w:r>
        <w:rPr>
          <w:rFonts w:cs="Arial" w:ascii="Arial" w:hAnsi="Arial"/>
          <w:i w:val="false"/>
          <w:iCs w:val="false"/>
          <w:color w:val="000000"/>
          <w:sz w:val="20"/>
          <w:szCs w:val="20"/>
        </w:rPr>
        <w:t>10.1.1 ser redigida em língua portuguesa, datilografada ou digitada, em uma via, sem emendas, rasuras, entrelinhas ou ressalvas, devendo a última folha ser assinada. Recomenda-se que as demais folhas sejam rubricadas pelo licitante ou seu representante legal.</w:t>
      </w:r>
    </w:p>
    <w:p>
      <w:pPr>
        <w:pStyle w:val="Normal"/>
        <w:numPr>
          <w:ilvl w:val="0"/>
          <w:numId w:val="0"/>
        </w:numPr>
        <w:spacing w:lineRule="auto" w:line="276" w:before="120" w:after="120"/>
        <w:ind w:left="2772" w:hanging="0"/>
        <w:jc w:val="both"/>
        <w:rPr>
          <w:i w:val="false"/>
          <w:i w:val="false"/>
          <w:iCs w:val="false"/>
          <w:color w:val="000000"/>
        </w:rPr>
      </w:pPr>
      <w:r>
        <w:rPr>
          <w:rFonts w:cs="Arial" w:ascii="Arial" w:hAnsi="Arial"/>
          <w:i w:val="false"/>
          <w:iCs w:val="false"/>
          <w:color w:val="000000"/>
          <w:sz w:val="20"/>
          <w:szCs w:val="20"/>
        </w:rPr>
        <w:t>10.1.2 Recomenda-se, também, que contenha a indicação do banco, número da conta e agência do licitante vencedor, para fins de pagamento.</w:t>
      </w:r>
    </w:p>
    <w:p>
      <w:pPr>
        <w:pStyle w:val="ListParagraph"/>
        <w:numPr>
          <w:ilvl w:val="0"/>
          <w:numId w:val="0"/>
        </w:numPr>
        <w:spacing w:lineRule="auto" w:line="276" w:before="120" w:after="120"/>
        <w:ind w:left="1719" w:hanging="0"/>
        <w:contextualSpacing/>
        <w:jc w:val="both"/>
        <w:rPr>
          <w:rFonts w:ascii="Arial" w:hAnsi="Arial" w:cs="Arial"/>
          <w:i/>
          <w:i/>
          <w:color w:val="FF0000"/>
          <w:sz w:val="20"/>
          <w:szCs w:val="20"/>
        </w:rPr>
      </w:pPr>
      <w:r>
        <w:rPr>
          <w:rFonts w:cs="Arial" w:ascii="Arial" w:hAnsi="Arial"/>
          <w:i w:val="false"/>
          <w:iCs w:val="false"/>
          <w:color w:val="000000"/>
          <w:sz w:val="20"/>
          <w:szCs w:val="20"/>
        </w:rPr>
        <w:t>10.2 A proposta final deverá ser documentada nos autos e será levada em consideração no decorrer da execução do contrato e aplicação de eventual sanção à Contratada, se for o caso.</w:t>
      </w:r>
    </w:p>
    <w:p>
      <w:pPr>
        <w:pStyle w:val="Normal"/>
        <w:numPr>
          <w:ilvl w:val="0"/>
          <w:numId w:val="0"/>
        </w:numPr>
        <w:spacing w:lineRule="auto" w:line="276" w:before="120" w:after="120"/>
        <w:ind w:left="2772" w:hanging="0"/>
        <w:jc w:val="both"/>
        <w:rPr>
          <w:rFonts w:ascii="Arial" w:hAnsi="Arial" w:cs="Arial"/>
          <w:i/>
          <w:i/>
          <w:color w:val="FF0000"/>
          <w:sz w:val="20"/>
          <w:szCs w:val="20"/>
        </w:rPr>
      </w:pPr>
      <w:r>
        <w:rPr>
          <w:rFonts w:cs="Arial" w:ascii="Arial" w:hAnsi="Arial"/>
          <w:i w:val="false"/>
          <w:iCs w:val="false"/>
          <w:color w:val="000000"/>
          <w:sz w:val="20"/>
          <w:szCs w:val="20"/>
        </w:rPr>
        <w:t>10.2.1 Todas as especificações do objeto contidas na proposta, tais como marca, modelo, tipo, fabricante e procedência, vinculam a Contratada.</w:t>
      </w:r>
    </w:p>
    <w:p>
      <w:pPr>
        <w:pStyle w:val="ListParagraph"/>
        <w:numPr>
          <w:ilvl w:val="0"/>
          <w:numId w:val="0"/>
        </w:numPr>
        <w:spacing w:lineRule="auto" w:line="276" w:before="120" w:after="120"/>
        <w:ind w:left="1719" w:hanging="0"/>
        <w:contextualSpacing/>
        <w:jc w:val="both"/>
        <w:rPr/>
      </w:pPr>
      <w:r>
        <w:rPr>
          <w:rFonts w:cs="Arial" w:ascii="Arial" w:hAnsi="Arial"/>
          <w:i w:val="false"/>
          <w:iCs w:val="false"/>
          <w:color w:val="000000"/>
          <w:sz w:val="20"/>
          <w:szCs w:val="20"/>
        </w:rPr>
        <w:t xml:space="preserve">10.3 </w:t>
      </w:r>
      <w:r>
        <w:rPr>
          <w:rFonts w:cs="Arial" w:ascii="Arial" w:hAnsi="Arial"/>
          <w:sz w:val="20"/>
          <w:szCs w:val="20"/>
        </w:rPr>
        <w:t>Os preços deverão ser expressos em moeda corrente nacional, com duas casas decimais, o valor unitário em algarismos e o valor global em algarismos e por extenso (art. 5º da Lei nº 8.666/93).</w:t>
      </w:r>
    </w:p>
    <w:p>
      <w:pPr>
        <w:pStyle w:val="Normal"/>
        <w:numPr>
          <w:ilvl w:val="0"/>
          <w:numId w:val="0"/>
        </w:numPr>
        <w:spacing w:lineRule="auto" w:line="276" w:before="120" w:after="120"/>
        <w:ind w:left="2772" w:hanging="0"/>
        <w:jc w:val="both"/>
        <w:rPr>
          <w:rFonts w:ascii="Arial" w:hAnsi="Arial" w:cs="Arial"/>
          <w:sz w:val="20"/>
          <w:szCs w:val="20"/>
        </w:rPr>
      </w:pPr>
      <w:r>
        <w:rPr>
          <w:rFonts w:cs="Arial" w:ascii="Arial" w:hAnsi="Arial"/>
          <w:sz w:val="20"/>
          <w:szCs w:val="20"/>
        </w:rPr>
        <w:t>10.3.1 Ocorrendo divergência entre os preços unitários e o preço global, prevalecerão os primeiros; no caso de divergência entre os valores numéricos e os valores expressos por extenso, prevalecerão estes últimos.</w:t>
      </w:r>
    </w:p>
    <w:p>
      <w:pPr>
        <w:pStyle w:val="ListParagraph"/>
        <w:numPr>
          <w:ilvl w:val="0"/>
          <w:numId w:val="0"/>
        </w:numPr>
        <w:spacing w:lineRule="auto" w:line="276" w:before="120" w:after="120"/>
        <w:ind w:left="1719" w:hanging="0"/>
        <w:contextualSpacing/>
        <w:jc w:val="both"/>
        <w:rPr/>
      </w:pPr>
      <w:r>
        <w:rPr>
          <w:rFonts w:cs="Arial" w:ascii="Arial" w:hAnsi="Arial"/>
          <w:sz w:val="20"/>
          <w:szCs w:val="20"/>
        </w:rPr>
        <w:t>10.4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0"/>
          <w:numId w:val="0"/>
        </w:numPr>
        <w:spacing w:lineRule="auto" w:line="276" w:before="120" w:after="120"/>
        <w:ind w:left="1719" w:hanging="0"/>
        <w:contextualSpacing/>
        <w:jc w:val="both"/>
        <w:rPr/>
      </w:pPr>
      <w:r>
        <w:rPr>
          <w:rFonts w:cs="Arial" w:ascii="Arial" w:hAnsi="Arial"/>
          <w:sz w:val="20"/>
          <w:szCs w:val="20"/>
        </w:rPr>
        <w:t>10.5 A proposta deverá obedecer aos termos deste Edital e seus Anexos, não sendo considerada aquela que não corresponda às especificações ali contidas ou que estabeleça vínculo à proposta de outro licitante.</w:t>
      </w:r>
    </w:p>
    <w:p>
      <w:pPr>
        <w:pStyle w:val="ListParagraph"/>
        <w:numPr>
          <w:ilvl w:val="0"/>
          <w:numId w:val="0"/>
        </w:numPr>
        <w:spacing w:lineRule="auto" w:line="276" w:before="120" w:after="120"/>
        <w:ind w:left="1719" w:hanging="0"/>
        <w:contextualSpacing/>
        <w:jc w:val="both"/>
        <w:rPr>
          <w:rFonts w:ascii="Arial" w:hAnsi="Arial" w:eastAsia="ＭＳ 明朝" w:cs="Arial" w:eastAsiaTheme="minorEastAsia"/>
          <w:color w:val="00000A"/>
          <w:sz w:val="20"/>
          <w:szCs w:val="20"/>
          <w:lang w:val="pt-BR" w:eastAsia="pt-BR" w:bidi="ar-SA"/>
        </w:rPr>
      </w:pPr>
      <w:r>
        <w:rPr>
          <w:rFonts w:eastAsia="ＭＳ 明朝" w:cs="Arial" w:ascii="Arial" w:hAnsi="Arial" w:eastAsiaTheme="minorEastAsia"/>
          <w:color w:val="00000A"/>
          <w:sz w:val="20"/>
          <w:szCs w:val="20"/>
          <w:lang w:val="pt-BR" w:eastAsia="pt-BR" w:bidi="ar-SA"/>
        </w:rPr>
        <w:t>10.6 As propostas que contenham a descrição do objeto, o valor e os documentos complementares estarão disponíveis na internet, após a homologação.</w:t>
      </w:r>
    </w:p>
    <w:p>
      <w:pPr>
        <w:pStyle w:val="ListParagraph"/>
        <w:spacing w:lineRule="auto" w:line="276" w:before="120" w:after="120"/>
        <w:ind w:left="999" w:hanging="0"/>
        <w:contextualSpacing/>
        <w:jc w:val="both"/>
        <w:rPr>
          <w:rFonts w:ascii="Arial" w:hAnsi="Arial" w:cs="Arial"/>
          <w:i/>
          <w:i/>
          <w:sz w:val="20"/>
          <w:szCs w:val="20"/>
        </w:rPr>
      </w:pPr>
      <w:r>
        <w:rPr>
          <w:rFonts w:cs="Arial" w:ascii="Arial" w:hAnsi="Arial"/>
          <w:i/>
          <w:sz w:val="20"/>
          <w:szCs w:val="20"/>
        </w:rPr>
      </w:r>
    </w:p>
    <w:p>
      <w:pPr>
        <w:pStyle w:val="Nivel01"/>
        <w:numPr>
          <w:ilvl w:val="0"/>
          <w:numId w:val="0"/>
        </w:numPr>
        <w:ind w:left="360" w:hanging="0"/>
        <w:rPr>
          <w:rFonts w:ascii="Arial" w:hAnsi="Arial" w:cs="Arial"/>
          <w:lang w:eastAsia="en-US"/>
        </w:rPr>
      </w:pPr>
      <w:r>
        <w:rPr>
          <w:rFonts w:cs="Arial" w:ascii="Arial" w:hAnsi="Arial"/>
          <w:lang w:eastAsia="en-US"/>
        </w:rPr>
        <w:t>11. DOS RECURSOS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lang w:eastAsia="en-US"/>
        </w:rPr>
        <w:t>11.1 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11.2 Havendo quem se manifeste, caberá ao Pregoeiro verificar a tempestividade e a existência de motivação da intenção de recorrer, para decidir se admite ou não o recurso, fundamentadamente.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11.2.1 Nesse momento o Pregoeiro não adentrará no mérito recursal, mas apenas verificará as condições de admissibilidade do recurso.</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A"/>
          <w:sz w:val="20"/>
          <w:szCs w:val="20"/>
        </w:rPr>
        <w:t xml:space="preserve">11.2.2 </w:t>
      </w:r>
      <w:r>
        <w:rPr>
          <w:rFonts w:cs="Arial" w:ascii="Arial" w:hAnsi="Arial"/>
          <w:sz w:val="20"/>
          <w:szCs w:val="20"/>
        </w:rPr>
        <w:t>A falta de manifestação motivada do licitante quanto à intenção de recorrer importará a decadência desse direito.</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sz w:val="20"/>
          <w:szCs w:val="20"/>
        </w:rPr>
        <w:t xml:space="preserve">11.2.3 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11.2.4 O acolhimento do recurso invalida tão somente os atos insuscetíveis de aproveitamento.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11..2.5 Os autos do processo permanecerão com vista franqueada aos interessados, no endereço constante neste Edital.</w:t>
      </w:r>
    </w:p>
    <w:p>
      <w:pPr>
        <w:pStyle w:val="Nivel01"/>
        <w:numPr>
          <w:ilvl w:val="0"/>
          <w:numId w:val="0"/>
        </w:numPr>
        <w:ind w:left="360" w:hanging="0"/>
        <w:rPr>
          <w:rFonts w:ascii="Arial" w:hAnsi="Arial" w:cs="Arial"/>
          <w:lang w:eastAsia="en-US"/>
        </w:rPr>
      </w:pPr>
      <w:r>
        <w:rPr>
          <w:rFonts w:cs="Arial" w:ascii="Arial" w:hAnsi="Arial"/>
          <w:lang w:eastAsia="en-US"/>
        </w:rPr>
        <w:t>12. DA REABERTURA DA SESSÃO PÚBLICA</w:t>
      </w:r>
    </w:p>
    <w:p>
      <w:pPr>
        <w:pStyle w:val="Nivel01"/>
        <w:keepNext/>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12.1 A sessão pública poderá ser reaberta:</w:t>
      </w:r>
    </w:p>
    <w:p>
      <w:pPr>
        <w:pStyle w:val="Nivel01"/>
        <w:keepNext/>
        <w:keepLines w:val="false"/>
        <w:numPr>
          <w:ilvl w:val="0"/>
          <w:numId w:val="0"/>
        </w:numPr>
        <w:spacing w:lineRule="auto" w:line="276" w:before="120" w:after="120"/>
        <w:ind w:left="2772" w:hanging="0"/>
        <w:rPr/>
      </w:pPr>
      <w:r>
        <w:rPr>
          <w:rFonts w:eastAsia="ＭＳ 明朝" w:cs="Arial" w:ascii="Arial" w:hAnsi="Arial" w:eastAsiaTheme="minorEastAsia"/>
          <w:b w:val="false"/>
          <w:bCs w:val="false"/>
          <w:color w:val="00000A"/>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12.2 Todos os licitantes remanescentes deverão ser convocados para acompanhar a sessão reaberta.</w:t>
      </w:r>
    </w:p>
    <w:p>
      <w:pPr>
        <w:pStyle w:val="Nivel01"/>
        <w:keepNext/>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12.2.1 A convocação se dará por meio do sistema eletrônico (“chat”), e-mail, ou, ainda, fac-símile, de acordo com a fase do procedimento licitatório.</w:t>
      </w:r>
    </w:p>
    <w:p>
      <w:pPr>
        <w:pStyle w:val="Nivel01"/>
        <w:keepNext/>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12.2.2 A convocação feita por e-mail ou fac-símile dar-se-á de acordo com os dados contidos no SICAF, sendo responsabilidade do licitante manter seus dados cadastrais atualizados.</w:t>
      </w:r>
    </w:p>
    <w:p>
      <w:pPr>
        <w:pStyle w:val="Nivel01"/>
        <w:numPr>
          <w:ilvl w:val="0"/>
          <w:numId w:val="0"/>
        </w:numPr>
        <w:ind w:left="360" w:hanging="0"/>
        <w:rPr/>
      </w:pPr>
      <w:r>
        <w:rPr>
          <w:rFonts w:cs="Arial" w:ascii="Arial" w:hAnsi="Arial"/>
        </w:rPr>
        <w:t xml:space="preserve">13. DA ADJUDICAÇÃO E HOMOLOGAÇÃO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13.1 O objeto da licitação será adjudicado ao licitante declarado vencedor, por ato do Pregoeiro, caso não haja interposição de recurso, ou pela autoridade competente, após a regular decisão dos recursos apresentados.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13.2 Após a fase recursal, constatada a regularidade dos atos praticados, a autoridade competente homologará o procedimento licitatório. </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color w:val="00000A"/>
        </w:rPr>
      </w:pPr>
      <w:r>
        <w:rPr>
          <w:rFonts w:cs="Arial" w:ascii="Arial" w:hAnsi="Arial"/>
          <w:color w:val="00000A"/>
        </w:rPr>
        <w:t xml:space="preserve">14. DA GARANTIA DE EXECUÇÃO </w:t>
      </w:r>
    </w:p>
    <w:p>
      <w:pPr>
        <w:pStyle w:val="Normal"/>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rFonts w:ascii="Arial" w:hAnsi="Arial" w:cs="Arial"/>
          <w:color w:val="FF0000"/>
          <w:sz w:val="20"/>
          <w:szCs w:val="20"/>
        </w:rPr>
      </w:pPr>
      <w:r>
        <w:rPr>
          <w:rFonts w:cs="Arial" w:ascii="Arial" w:hAnsi="Arial"/>
          <w:color w:val="000000"/>
          <w:sz w:val="20"/>
          <w:szCs w:val="20"/>
        </w:rPr>
        <w:t>14. Não haverá exigência de garantia de execução para a presente contratação.</w:t>
      </w:r>
    </w:p>
    <w:p>
      <w:pPr>
        <w:pStyle w:val="Normal"/>
        <w:spacing w:lineRule="auto" w:line="276" w:before="120" w:after="120"/>
        <w:ind w:left="425" w:hanging="0"/>
        <w:jc w:val="both"/>
        <w:rPr>
          <w:rFonts w:ascii="Arial" w:hAnsi="Arial" w:cs="Arial"/>
          <w:b/>
          <w:b/>
          <w:bCs/>
          <w:i/>
          <w:i/>
          <w:iCs/>
          <w:strike/>
          <w:color w:val="FF0000"/>
          <w:sz w:val="20"/>
          <w:szCs w:val="20"/>
          <w:u w:val="single"/>
        </w:rPr>
      </w:pPr>
      <w:r>
        <w:rPr>
          <w:rFonts w:cs="Arial" w:ascii="Arial" w:hAnsi="Arial"/>
          <w:b/>
          <w:bCs/>
          <w:i/>
          <w:iCs/>
          <w:strike/>
          <w:color w:val="FF0000"/>
          <w:sz w:val="20"/>
          <w:szCs w:val="20"/>
          <w:u w:val="single"/>
        </w:rPr>
      </w:r>
    </w:p>
    <w:p>
      <w:pPr>
        <w:pStyle w:val="Nivel01"/>
        <w:numPr>
          <w:ilvl w:val="0"/>
          <w:numId w:val="0"/>
        </w:numPr>
        <w:ind w:left="360" w:hanging="0"/>
        <w:rPr>
          <w:rFonts w:ascii="Arial" w:hAnsi="Arial" w:cs="Arial"/>
          <w:color w:val="FF0000"/>
          <w:highlight w:val="cyan"/>
        </w:rPr>
      </w:pPr>
      <w:r>
        <w:rPr>
          <w:rFonts w:cs="Arial" w:ascii="Arial" w:hAnsi="Arial"/>
          <w:b/>
          <w:bCs/>
          <w:i w:val="false"/>
          <w:iCs w:val="false"/>
          <w:color w:val="000000"/>
        </w:rPr>
        <w:t>15. DA ATA DE REGISTRO DE PREÇOS</w:t>
      </w:r>
    </w:p>
    <w:p>
      <w:pPr>
        <w:pStyle w:val="Nivel01"/>
        <w:numPr>
          <w:ilvl w:val="0"/>
          <w:numId w:val="0"/>
        </w:numPr>
        <w:ind w:left="999" w:hanging="0"/>
        <w:rPr>
          <w:b w:val="false"/>
          <w:b w:val="false"/>
          <w:bCs w:val="false"/>
          <w:i w:val="false"/>
          <w:i w:val="false"/>
          <w:iCs w:val="false"/>
          <w:color w:val="000000"/>
        </w:rPr>
      </w:pPr>
      <w:r>
        <w:rPr>
          <w:rFonts w:cs="Arial" w:ascii="Arial" w:hAnsi="Arial"/>
          <w:b w:val="false"/>
          <w:bCs w:val="false"/>
          <w:i w:val="false"/>
          <w:iCs w:val="false"/>
          <w:color w:val="000000"/>
          <w:sz w:val="20"/>
          <w:szCs w:val="20"/>
        </w:rPr>
        <w:t xml:space="preserve">15.1 </w:t>
      </w:r>
      <w:r>
        <w:rPr>
          <w:rFonts w:cs="Arial" w:ascii="Arial" w:hAnsi="Arial"/>
          <w:b w:val="false"/>
          <w:bCs w:val="false"/>
          <w:i w:val="false"/>
          <w:iCs w:val="false"/>
          <w:color w:val="000000"/>
        </w:rPr>
        <w:t xml:space="preserve">Homologado o resultado da licitação, terá o adjudicatário o prazo de 05 (cinco) dias úteis, contados a partir da data de sua convocação, para assinar a Ata de Registro de Preços, cujo prazo de validade encontra-se nela fixado, sob pena de decair do direito à contratação, sem prejuízo das sanções previstas neste Edital. </w:t>
      </w:r>
    </w:p>
    <w:p>
      <w:pPr>
        <w:pStyle w:val="Nivel01"/>
        <w:numPr>
          <w:ilvl w:val="0"/>
          <w:numId w:val="0"/>
        </w:numPr>
        <w:ind w:left="999" w:hanging="0"/>
        <w:rPr>
          <w:b w:val="false"/>
          <w:b w:val="false"/>
          <w:bCs w:val="false"/>
          <w:i w:val="false"/>
          <w:i w:val="false"/>
          <w:iCs w:val="false"/>
          <w:color w:val="000000"/>
        </w:rPr>
      </w:pPr>
      <w:r>
        <w:rPr>
          <w:rFonts w:cs="Arial" w:ascii="Arial" w:hAnsi="Arial"/>
          <w:b w:val="false"/>
          <w:bCs w:val="false"/>
          <w:i w:val="false"/>
          <w:iCs w:val="false"/>
          <w:color w:val="000000"/>
        </w:rPr>
        <w:t>15.2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05 (cinco) dias, a contar da data de seu recebimento.</w:t>
      </w:r>
    </w:p>
    <w:p>
      <w:pPr>
        <w:pStyle w:val="Nivel01"/>
        <w:numPr>
          <w:ilvl w:val="0"/>
          <w:numId w:val="0"/>
        </w:numPr>
        <w:ind w:left="999" w:hanging="0"/>
        <w:rPr>
          <w:b w:val="false"/>
          <w:b w:val="false"/>
          <w:bCs w:val="false"/>
          <w:i w:val="false"/>
          <w:i w:val="false"/>
          <w:iCs w:val="false"/>
          <w:color w:val="000000"/>
        </w:rPr>
      </w:pPr>
      <w:r>
        <w:rPr>
          <w:rFonts w:cs="Arial" w:ascii="Arial" w:hAnsi="Arial"/>
          <w:b w:val="false"/>
          <w:bCs w:val="false"/>
          <w:i w:val="false"/>
          <w:iCs w:val="false"/>
          <w:color w:val="000000"/>
          <w:szCs w:val="20"/>
        </w:rPr>
        <w:t xml:space="preserve">15.3 </w:t>
      </w:r>
      <w:r>
        <w:rPr>
          <w:rFonts w:cs="Arial" w:ascii="Arial" w:hAnsi="Arial"/>
          <w:b w:val="false"/>
          <w:bCs w:val="false"/>
          <w:i w:val="false"/>
          <w:iCs w:val="false"/>
          <w:color w:val="000000"/>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numPr>
          <w:ilvl w:val="0"/>
          <w:numId w:val="0"/>
        </w:numPr>
        <w:ind w:left="999" w:hanging="0"/>
        <w:rPr>
          <w:rFonts w:ascii="Arial" w:hAnsi="Arial" w:cs="Arial"/>
          <w:b w:val="false"/>
          <w:b w:val="false"/>
          <w:i/>
          <w:i/>
          <w:color w:val="FF0000"/>
          <w:highlight w:val="cyan"/>
        </w:rPr>
      </w:pPr>
      <w:r>
        <w:rPr>
          <w:rFonts w:cs="Arial" w:ascii="Arial" w:hAnsi="Arial"/>
          <w:b w:val="false"/>
          <w:bCs w:val="false"/>
          <w:i w:val="false"/>
          <w:iCs w:val="false"/>
          <w:color w:val="000000"/>
        </w:rPr>
        <w:t>15.4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numPr>
          <w:ilvl w:val="0"/>
          <w:numId w:val="0"/>
        </w:numPr>
        <w:ind w:left="1638" w:hanging="0"/>
        <w:rPr>
          <w:b w:val="false"/>
          <w:b w:val="false"/>
          <w:bCs w:val="false"/>
          <w:i w:val="false"/>
          <w:i w:val="false"/>
          <w:iCs w:val="false"/>
          <w:color w:val="000000"/>
        </w:rPr>
      </w:pPr>
      <w:r>
        <w:rPr>
          <w:rFonts w:cs="Arial" w:ascii="Arial" w:hAnsi="Arial"/>
          <w:b w:val="false"/>
          <w:bCs w:val="false"/>
          <w:i w:val="false"/>
          <w:iCs w:val="false"/>
          <w:color w:val="000000"/>
        </w:rPr>
        <w:t>15.4.1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numPr>
          <w:ilvl w:val="0"/>
          <w:numId w:val="0"/>
        </w:numPr>
        <w:ind w:left="1638" w:hanging="0"/>
        <w:rPr>
          <w:rFonts w:ascii="Arial" w:hAnsi="Arial" w:cs="Arial"/>
          <w:b w:val="false"/>
          <w:b w:val="false"/>
          <w:i/>
          <w:i/>
          <w:color w:val="FF0000"/>
          <w:highlight w:val="cyan"/>
        </w:rPr>
      </w:pPr>
      <w:r>
        <w:rPr>
          <w:rFonts w:cs="Arial" w:ascii="Arial" w:hAnsi="Arial"/>
          <w:b w:val="false"/>
          <w:i/>
          <w:color w:val="FF0000"/>
          <w:highlight w:val="cyan"/>
        </w:rPr>
      </w:r>
    </w:p>
    <w:p>
      <w:pPr>
        <w:pStyle w:val="Nivel01"/>
        <w:numPr>
          <w:ilvl w:val="0"/>
          <w:numId w:val="0"/>
        </w:numPr>
        <w:ind w:left="360" w:hanging="0"/>
        <w:rPr/>
      </w:pPr>
      <w:r>
        <w:rPr>
          <w:rFonts w:cs="Arial" w:ascii="Arial" w:hAnsi="Arial"/>
        </w:rPr>
        <w:t>16. DA NOTA DE EMPENHO</w:t>
      </w:r>
    </w:p>
    <w:p>
      <w:pPr>
        <w:pStyle w:val="Normal"/>
        <w:rPr>
          <w:rFonts w:ascii="Arial" w:hAnsi="Arial" w:cs="Arial"/>
          <w:sz w:val="20"/>
          <w:szCs w:val="20"/>
        </w:rPr>
      </w:pPr>
      <w:r>
        <w:rPr>
          <w:rFonts w:cs="Arial" w:ascii="Arial" w:hAnsi="Arial"/>
          <w:sz w:val="20"/>
          <w:szCs w:val="20"/>
        </w:rPr>
      </w:r>
    </w:p>
    <w:p>
      <w:pPr>
        <w:pStyle w:val="Nivel01"/>
        <w:numPr>
          <w:ilvl w:val="0"/>
          <w:numId w:val="0"/>
        </w:numPr>
        <w:ind w:left="999" w:hanging="0"/>
        <w:rPr/>
      </w:pPr>
      <w:r>
        <w:rPr>
          <w:rFonts w:eastAsia="Arial" w:cs="Arial" w:ascii="Arial" w:hAnsi="Arial"/>
          <w:b w:val="false"/>
        </w:rPr>
        <w:t>16.1 Após a homologação da licitação, em sendo realizada a contratação, será emitida nota de empenho.</w:t>
      </w:r>
    </w:p>
    <w:p>
      <w:pPr>
        <w:pStyle w:val="Normal"/>
        <w:rPr>
          <w:rFonts w:ascii="Arial" w:hAnsi="Arial" w:cs="Arial"/>
          <w:sz w:val="20"/>
          <w:szCs w:val="20"/>
        </w:rPr>
      </w:pPr>
      <w:r>
        <w:rPr>
          <w:rFonts w:cs="Arial" w:ascii="Arial" w:hAnsi="Arial"/>
          <w:sz w:val="20"/>
          <w:szCs w:val="20"/>
        </w:rPr>
      </w:r>
    </w:p>
    <w:p>
      <w:pPr>
        <w:pStyle w:val="Nivel01"/>
        <w:numPr>
          <w:ilvl w:val="0"/>
          <w:numId w:val="0"/>
        </w:numPr>
        <w:ind w:left="999" w:hanging="0"/>
        <w:rPr/>
      </w:pPr>
      <w:r>
        <w:rPr>
          <w:rFonts w:eastAsia="Arial" w:cs="Arial" w:ascii="Arial" w:hAnsi="Arial"/>
          <w:b w:val="false"/>
          <w:szCs w:val="20"/>
        </w:rPr>
        <w:t xml:space="preserve">16.2 </w:t>
      </w:r>
      <w:r>
        <w:rPr>
          <w:rFonts w:eastAsia="Arial" w:cs="Arial" w:ascii="Arial" w:hAnsi="Arial"/>
          <w:b w:val="false"/>
        </w:rPr>
        <w:t xml:space="preserve">O adjudicatário terá o prazo de 07 dias, contados a partir do envio de e-mail, para assinar/aceitar instrumento equivalente, conforme o caso (Nota de Empenho/Carta Contrato/Autorização), sob pena de decair do direito à contratação, sem prejuízo das sanções previstas neste Edital. </w:t>
      </w:r>
    </w:p>
    <w:p>
      <w:pPr>
        <w:pStyle w:val="Nivel01"/>
        <w:numPr>
          <w:ilvl w:val="0"/>
          <w:numId w:val="0"/>
        </w:numPr>
        <w:ind w:left="1638" w:hanging="0"/>
        <w:rPr/>
      </w:pPr>
      <w:r>
        <w:rPr>
          <w:rFonts w:eastAsia="Arial" w:cs="Arial" w:ascii="Arial" w:hAnsi="Arial"/>
          <w:b w:val="false"/>
        </w:rPr>
        <w:t xml:space="preserve">16.2.1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07 (sete) dias, a contar da data de seu recebimento.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16.2.2 O prazo previsto no subitem anterior poderá ser prorrogado, por igual período, por solicitação justificada do adjudicatário e aceita pela Administração.</w:t>
      </w:r>
    </w:p>
    <w:p>
      <w:pPr>
        <w:pStyle w:val="Nivel01"/>
        <w:numPr>
          <w:ilvl w:val="0"/>
          <w:numId w:val="0"/>
        </w:numPr>
        <w:ind w:left="999" w:hanging="0"/>
        <w:rPr/>
      </w:pPr>
      <w:r>
        <w:rPr>
          <w:rFonts w:eastAsia="Arial" w:cs="Arial" w:ascii="Arial" w:hAnsi="Arial"/>
          <w:b w:val="false"/>
          <w:szCs w:val="20"/>
        </w:rPr>
        <w:t xml:space="preserve">16.3 </w:t>
      </w:r>
      <w:r>
        <w:rPr>
          <w:rFonts w:eastAsia="Arial" w:cs="Arial" w:ascii="Arial" w:hAnsi="Arial"/>
          <w:b w:val="false"/>
        </w:rPr>
        <w:t>O Aceite da Nota de Empenho ou do instrumento equivalente, emitida à empresa adjudicada, implica no reconhecimento de que:</w:t>
      </w:r>
    </w:p>
    <w:p>
      <w:pPr>
        <w:pStyle w:val="ListParagraph"/>
        <w:spacing w:lineRule="auto" w:line="276"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16.3.1 referida Nota está substituindo o contrato, aplicando-se à relação de negócios ali estabelecida as disposições da Lei nº 8.666, de 1993;</w:t>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16.3.2 a contratada se vincula à sua proposta e às previsões contidas no edital e seus anexos;</w:t>
      </w:r>
    </w:p>
    <w:p>
      <w:pPr>
        <w:pStyle w:val="ListParagraph"/>
        <w:numPr>
          <w:ilvl w:val="0"/>
          <w:numId w:val="0"/>
        </w:numPr>
        <w:spacing w:lineRule="auto" w:line="276" w:before="120" w:after="120"/>
        <w:ind w:left="2358" w:hanging="0"/>
        <w:contextualSpacing/>
        <w:jc w:val="both"/>
        <w:rPr>
          <w:rFonts w:ascii="Arial" w:hAnsi="Arial" w:eastAsia="Arial" w:cs="Arial"/>
          <w:color w:val="000000"/>
          <w:sz w:val="20"/>
          <w:szCs w:val="20"/>
        </w:rPr>
      </w:pPr>
      <w:r>
        <w:rPr>
          <w:rFonts w:eastAsia="Arial" w:cs="Arial" w:ascii="Arial" w:hAnsi="Arial"/>
          <w:color w:val="000000"/>
          <w:sz w:val="20"/>
          <w:szCs w:val="20"/>
        </w:rPr>
        <w:t>16.3.3 a contratada reconhece que as hipóteses de rescisão são aquelas previstas nos artigos 77 e 78 da Lei nº 8.666/93 e reconhece os direitos da Administração previstos nos artigos 79 e 80 da mesma Lei.</w:t>
      </w:r>
    </w:p>
    <w:p>
      <w:pPr>
        <w:pStyle w:val="Nivel01"/>
        <w:numPr>
          <w:ilvl w:val="0"/>
          <w:numId w:val="0"/>
        </w:numPr>
        <w:ind w:left="999" w:hanging="0"/>
        <w:rPr/>
      </w:pPr>
      <w:r>
        <w:rPr>
          <w:rFonts w:eastAsia="Arial" w:cs="Arial" w:ascii="Arial" w:hAnsi="Arial"/>
          <w:b w:val="false"/>
        </w:rPr>
        <w:t xml:space="preserve">16.4 O prazo de vigência da contratação é de 12 meses, prorrogável conforme previsão no instrumento contratual ou no termo de referência. </w:t>
      </w:r>
    </w:p>
    <w:p>
      <w:pPr>
        <w:pStyle w:val="Nivel01"/>
        <w:numPr>
          <w:ilvl w:val="0"/>
          <w:numId w:val="0"/>
        </w:numPr>
        <w:ind w:left="999" w:hanging="0"/>
        <w:rPr/>
      </w:pPr>
      <w:r>
        <w:rPr>
          <w:rFonts w:eastAsia="Arial" w:cs="Arial" w:ascii="Arial" w:hAnsi="Arial"/>
          <w:b w:val="false"/>
          <w:szCs w:val="20"/>
        </w:rPr>
        <w:t xml:space="preserve">16.5 </w:t>
      </w:r>
      <w:r>
        <w:rPr>
          <w:rFonts w:eastAsia="Arial" w:cs="Arial" w:ascii="Arial" w:hAnsi="Arial"/>
          <w:b w:val="false"/>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16.5.1 Nos casos em que houver necessidade de assinatura do instrumento de contrato, e o fornecedor não estiver inscrito no SICAF, este deverá proceder ao seu cadastramento, sem ônus, antes da contratação.</w:t>
      </w:r>
    </w:p>
    <w:p>
      <w:pPr>
        <w:pStyle w:val="Nivel01"/>
        <w:numPr>
          <w:ilvl w:val="0"/>
          <w:numId w:val="0"/>
        </w:numPr>
        <w:ind w:left="1638" w:hanging="0"/>
        <w:rPr>
          <w:rFonts w:ascii="Arial" w:hAnsi="Arial" w:eastAsia="Arial" w:cs="Arial"/>
          <w:b w:val="false"/>
          <w:b w:val="false"/>
        </w:rPr>
      </w:pPr>
      <w:r>
        <w:rPr>
          <w:rFonts w:eastAsia="Arial" w:cs="Arial" w:ascii="Arial" w:hAnsi="Arial"/>
          <w:b w:val="false"/>
        </w:rPr>
        <w:t>16.5.2 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0"/>
          <w:numId w:val="0"/>
        </w:numPr>
        <w:spacing w:lineRule="auto" w:line="276" w:before="120" w:after="120"/>
        <w:ind w:left="999" w:hanging="0"/>
        <w:jc w:val="both"/>
        <w:rPr>
          <w:rFonts w:ascii="Arial" w:hAnsi="Arial" w:eastAsia="Arial" w:cs="Arial"/>
          <w:color w:val="000000"/>
          <w:sz w:val="20"/>
          <w:szCs w:val="20"/>
          <w:highlight w:val="yellow"/>
        </w:rPr>
      </w:pPr>
      <w:r>
        <w:rPr>
          <w:rFonts w:cs="Arial" w:ascii="Arial" w:hAnsi="Arial"/>
          <w:color w:val="000000"/>
          <w:sz w:val="20"/>
          <w:szCs w:val="20"/>
        </w:rPr>
        <w:t>16.6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0"/>
          <w:numId w:val="0"/>
        </w:numPr>
        <w:spacing w:lineRule="auto" w:line="276" w:before="120" w:after="120"/>
        <w:ind w:left="999" w:hanging="0"/>
        <w:jc w:val="both"/>
        <w:rPr/>
      </w:pPr>
      <w:r>
        <w:rPr>
          <w:rFonts w:cs="Arial" w:ascii="Arial" w:hAnsi="Arial"/>
          <w:color w:val="000000"/>
          <w:sz w:val="20"/>
          <w:szCs w:val="20"/>
        </w:rPr>
        <w:t>16.7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ascii="Arial" w:hAnsi="Arial"/>
          <w:color w:val="000000"/>
          <w:sz w:val="20"/>
          <w:szCs w:val="20"/>
        </w:rPr>
        <w:t>.</w:t>
      </w:r>
    </w:p>
    <w:p>
      <w:pPr>
        <w:pStyle w:val="Nivel01"/>
        <w:numPr>
          <w:ilvl w:val="0"/>
          <w:numId w:val="0"/>
        </w:numPr>
        <w:ind w:left="360" w:hanging="0"/>
        <w:rPr/>
      </w:pPr>
      <w:r>
        <w:rPr>
          <w:rFonts w:eastAsia="Arial" w:cs="Arial" w:ascii="Arial" w:hAnsi="Arial"/>
        </w:rPr>
        <w:t xml:space="preserve">17. </w:t>
      </w:r>
      <w:r>
        <w:rPr>
          <w:rFonts w:cs="Arial" w:ascii="Arial" w:hAnsi="Arial"/>
        </w:rPr>
        <w:t>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5"/>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5"/>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5"/>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5"/>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0"/>
        </w:numPr>
        <w:spacing w:lineRule="auto" w:line="276" w:before="120" w:after="120"/>
        <w:ind w:left="1719"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17.1 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18. DO RECEBIMENTO DO OBJETO E DA FISCALIZAÇÃO</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rPr>
      </w:pPr>
      <w:r>
        <w:rPr>
          <w:rFonts w:cs="Arial" w:ascii="Arial" w:hAnsi="Arial"/>
          <w:color w:val="000000"/>
          <w:sz w:val="20"/>
          <w:szCs w:val="20"/>
          <w:lang w:eastAsia="en-US"/>
        </w:rPr>
        <w:t>18.1 Os critérios de recebimento e aceitação do objeto e de fiscalização estão previstos no Termo de Referência.</w:t>
      </w:r>
    </w:p>
    <w:p>
      <w:pPr>
        <w:pStyle w:val="Nivel01"/>
        <w:numPr>
          <w:ilvl w:val="0"/>
          <w:numId w:val="0"/>
        </w:numPr>
        <w:ind w:left="360" w:hanging="0"/>
        <w:rPr>
          <w:rFonts w:ascii="Arial" w:hAnsi="Arial" w:cs="Arial"/>
        </w:rPr>
      </w:pPr>
      <w:r>
        <w:rPr>
          <w:rFonts w:cs="Arial" w:ascii="Arial" w:hAnsi="Arial"/>
          <w:lang w:eastAsia="en-US"/>
        </w:rPr>
        <w:t>19. DAS OBRIGAÇÕES DA CONTRATANTE E DA CONTRATADA</w:t>
      </w:r>
    </w:p>
    <w:p>
      <w:pPr>
        <w:pStyle w:val="ListParagraph"/>
        <w:numPr>
          <w:ilvl w:val="0"/>
          <w:numId w:val="0"/>
        </w:numPr>
        <w:spacing w:lineRule="auto" w:line="276" w:before="120" w:after="120"/>
        <w:ind w:left="1719" w:hanging="0"/>
        <w:contextualSpacing/>
        <w:jc w:val="both"/>
        <w:rPr>
          <w:rFonts w:ascii="Arial" w:hAnsi="Arial" w:cs="Arial"/>
          <w:b/>
          <w:b/>
          <w:color w:val="000000"/>
          <w:sz w:val="20"/>
          <w:szCs w:val="20"/>
        </w:rPr>
      </w:pPr>
      <w:r>
        <w:rPr>
          <w:rFonts w:cs="Arial" w:ascii="Arial" w:hAnsi="Arial"/>
          <w:color w:val="000000"/>
          <w:sz w:val="20"/>
          <w:szCs w:val="20"/>
          <w:lang w:eastAsia="en-US"/>
        </w:rPr>
        <w:t>19.1 As obrigações da Contratante e da Contratada são as estabelecidas no Termo de Referência.</w:t>
      </w:r>
      <w:r>
        <w:rPr>
          <w:rFonts w:cs="Arial" w:ascii="Arial" w:hAnsi="Arial"/>
          <w:b/>
          <w:color w:val="000000"/>
          <w:sz w:val="20"/>
          <w:szCs w:val="20"/>
        </w:rPr>
        <w:t xml:space="preserve"> </w:t>
      </w:r>
    </w:p>
    <w:p>
      <w:pPr>
        <w:pStyle w:val="Nivel01"/>
        <w:numPr>
          <w:ilvl w:val="0"/>
          <w:numId w:val="0"/>
        </w:numPr>
        <w:ind w:left="360" w:hanging="0"/>
        <w:rPr>
          <w:rFonts w:ascii="Arial" w:hAnsi="Arial" w:cs="Arial"/>
        </w:rPr>
      </w:pPr>
      <w:r>
        <w:rPr>
          <w:rFonts w:cs="Arial" w:ascii="Arial" w:hAnsi="Arial"/>
        </w:rPr>
        <w:t>20. DO PAGAMENTO</w:t>
      </w:r>
    </w:p>
    <w:tbl>
      <w:tblPr>
        <w:tblStyle w:val="Tabelacomgrade"/>
        <w:tblW w:w="2802" w:type="dxa"/>
        <w:jc w:val="left"/>
        <w:tblInd w:w="425" w:type="dxa"/>
        <w:tblCellMar>
          <w:top w:w="0" w:type="dxa"/>
          <w:left w:w="118" w:type="dxa"/>
          <w:bottom w:w="0" w:type="dxa"/>
          <w:right w:w="108" w:type="dxa"/>
        </w:tblCellMar>
        <w:tblLook w:firstRow="1" w:noVBand="1" w:lastRow="0" w:firstColumn="1" w:lastColumn="0" w:noHBand="0" w:val="04a0"/>
      </w:tblPr>
      <w:tblGrid>
        <w:gridCol w:w="2214"/>
        <w:gridCol w:w="587"/>
      </w:tblGrid>
      <w:tr>
        <w:trPr/>
        <w:tc>
          <w:tcPr>
            <w:tcW w:w="2214" w:type="dxa"/>
            <w:tcBorders>
              <w:top w:val="nil"/>
              <w:left w:val="nil"/>
              <w:bottom w:val="nil"/>
              <w:right w:val="nil"/>
              <w:insideH w:val="nil"/>
              <w:insideV w:val="nil"/>
            </w:tcBorders>
            <w:shd w:fill="auto" w:val="clear"/>
          </w:tcPr>
          <w:p>
            <w:pPr>
              <w:pStyle w:val="Normal"/>
              <w:rPr>
                <w:rFonts w:ascii="Arial" w:hAnsi="Arial" w:cs="Arial"/>
                <w:color w:val="000000"/>
                <w:sz w:val="20"/>
                <w:szCs w:val="20"/>
              </w:rPr>
            </w:pPr>
            <w:r>
              <w:rPr>
                <w:rFonts w:cs="Arial" w:ascii="Arial" w:hAnsi="Arial"/>
                <w:color w:val="000000"/>
                <w:sz w:val="20"/>
                <w:szCs w:val="20"/>
              </w:rPr>
            </w:r>
          </w:p>
        </w:tc>
        <w:tc>
          <w:tcPr>
            <w:tcW w:w="587" w:type="dxa"/>
            <w:tcBorders>
              <w:top w:val="nil"/>
              <w:left w:val="nil"/>
              <w:bottom w:val="nil"/>
              <w:right w:val="nil"/>
              <w:insideH w:val="nil"/>
              <w:insideV w:val="nil"/>
            </w:tcBorders>
            <w:shd w:fill="auto" w:val="clear"/>
          </w:tcPr>
          <w:p>
            <w:pPr>
              <w:pStyle w:val="Normal"/>
              <w:tabs>
                <w:tab w:val="left" w:pos="1701" w:leader="none"/>
              </w:tabs>
              <w:jc w:val="both"/>
              <w:rPr>
                <w:rFonts w:ascii="Arial" w:hAnsi="Arial" w:cs="Arial"/>
                <w:color w:val="000000"/>
                <w:sz w:val="20"/>
                <w:szCs w:val="20"/>
              </w:rPr>
            </w:pPr>
            <w:r>
              <w:rPr>
                <w:rFonts w:cs="Arial" w:ascii="Arial" w:hAnsi="Arial"/>
                <w:color w:val="000000"/>
                <w:sz w:val="20"/>
                <w:szCs w:val="20"/>
              </w:rPr>
            </w:r>
          </w:p>
        </w:tc>
      </w:tr>
    </w:tbl>
    <w:p>
      <w:pPr>
        <w:pStyle w:val="ListParagraph"/>
        <w:numPr>
          <w:ilvl w:val="0"/>
          <w:numId w:val="0"/>
        </w:numPr>
        <w:spacing w:lineRule="auto" w:line="276" w:before="120" w:after="120"/>
        <w:ind w:left="1719" w:hanging="0"/>
        <w:contextualSpacing/>
        <w:jc w:val="both"/>
        <w:rPr>
          <w:rFonts w:ascii="Arial" w:hAnsi="Arial" w:cs="Arial"/>
          <w:color w:val="000000"/>
          <w:sz w:val="20"/>
          <w:szCs w:val="20"/>
          <w:lang w:eastAsia="en-US"/>
        </w:rPr>
      </w:pPr>
      <w:r>
        <w:rPr>
          <w:rFonts w:cs="Arial" w:ascii="Arial" w:hAnsi="Arial"/>
          <w:color w:val="000000"/>
          <w:sz w:val="20"/>
          <w:szCs w:val="20"/>
          <w:lang w:eastAsia="en-US"/>
        </w:rPr>
        <w:t>20.1 As regras acerca do pagamento são as estabelecidas no Termo de Referência, anexo a este Edital.</w:t>
      </w:r>
    </w:p>
    <w:p>
      <w:pPr>
        <w:pStyle w:val="Nivel01"/>
        <w:numPr>
          <w:ilvl w:val="0"/>
          <w:numId w:val="0"/>
        </w:numPr>
        <w:ind w:left="360" w:hanging="0"/>
        <w:rPr>
          <w:rFonts w:ascii="Arial" w:hAnsi="Arial" w:cs="Arial"/>
        </w:rPr>
      </w:pPr>
      <w:r>
        <w:rPr>
          <w:rFonts w:cs="Arial" w:ascii="Arial" w:hAnsi="Arial"/>
        </w:rPr>
        <w:t>21. DAS SANÇÕES ADMINISTRATIVAS.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21.1 Comete infração administrativa, nos termos da Lei nº 10.520, de 2002, o licitante/adjudicatário que: </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21.1.1 não assinar o termo de contrato ou aceitar/retirar o instrumento equivalente, quando convocado dentro do prazo de validade da proposta;</w:t>
      </w:r>
    </w:p>
    <w:p>
      <w:pPr>
        <w:pStyle w:val="ListParagraph"/>
        <w:numPr>
          <w:ilvl w:val="0"/>
          <w:numId w:val="0"/>
        </w:numPr>
        <w:ind w:left="2358" w:hanging="0"/>
        <w:rPr>
          <w:rFonts w:ascii="Arial" w:hAnsi="Arial" w:cs="Arial"/>
          <w:sz w:val="20"/>
          <w:szCs w:val="20"/>
          <w:highlight w:val="white"/>
        </w:rPr>
      </w:pPr>
      <w:r>
        <w:rPr>
          <w:rFonts w:cs="Arial" w:ascii="Arial" w:hAnsi="Arial"/>
          <w:sz w:val="20"/>
          <w:szCs w:val="20"/>
          <w:shd w:fill="FFFFFF" w:val="clear"/>
        </w:rPr>
        <w:t>21.1.2 não assinar a ata de registro de preços, quando cabível;</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21.1.3 apresentar documentação falsa;</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21.1.4 deixar de entregar os documentos exigidos no certame;</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rPr>
        <w:t>21.1.5 ensejar o retardamento da execução do objeto;</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21.1.6 não mantiver a proposta;</w:t>
      </w:r>
    </w:p>
    <w:p>
      <w:pPr>
        <w:pStyle w:val="Normal"/>
        <w:numPr>
          <w:ilvl w:val="0"/>
          <w:numId w:val="0"/>
        </w:numPr>
        <w:tabs>
          <w:tab w:val="left" w:pos="1440" w:leader="none"/>
        </w:tabs>
        <w:snapToGrid w:val="false"/>
        <w:spacing w:lineRule="auto" w:line="276" w:before="120" w:after="120"/>
        <w:ind w:left="1638" w:hanging="0"/>
        <w:jc w:val="both"/>
        <w:rPr/>
      </w:pPr>
      <w:r>
        <w:rPr>
          <w:rFonts w:cs="Arial" w:ascii="Arial" w:hAnsi="Arial"/>
          <w:sz w:val="20"/>
          <w:szCs w:val="20"/>
          <w:shd w:fill="FFFFFF" w:val="clear"/>
        </w:rPr>
        <w:t>21.1.7 cometer fraude fiscal;</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21.2 comportar-se de modo inidôneo;</w:t>
      </w:r>
    </w:p>
    <w:p>
      <w:pPr>
        <w:pStyle w:val="ListParagraph"/>
        <w:numPr>
          <w:ilvl w:val="0"/>
          <w:numId w:val="0"/>
        </w:numPr>
        <w:spacing w:lineRule="auto" w:line="276" w:before="120" w:after="120"/>
        <w:ind w:left="1719" w:hanging="0"/>
        <w:contextualSpacing/>
        <w:jc w:val="both"/>
        <w:rPr/>
      </w:pPr>
      <w:r>
        <w:rPr>
          <w:rFonts w:cs="Arial" w:ascii="Arial" w:hAnsi="Arial"/>
          <w:color w:val="000000"/>
          <w:sz w:val="20"/>
          <w:szCs w:val="20"/>
          <w:highlight w:val="yellow"/>
        </w:rPr>
        <w:t xml:space="preserve">21.2 </w:t>
      </w:r>
      <w:r>
        <w:rPr>
          <w:rFonts w:cs="Arial" w:ascii="Arial" w:hAnsi="Arial"/>
          <w:sz w:val="20"/>
          <w:szCs w:val="20"/>
          <w:shd w:fill="FFFFFF" w:val="clea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numPr>
          <w:ilvl w:val="0"/>
          <w:numId w:val="0"/>
        </w:numPr>
        <w:spacing w:lineRule="auto" w:line="276" w:before="120" w:after="120"/>
        <w:ind w:left="1719" w:hanging="0"/>
        <w:contextualSpacing/>
        <w:jc w:val="both"/>
        <w:rPr/>
      </w:pPr>
      <w:r>
        <w:rPr>
          <w:rFonts w:cs="Arial" w:ascii="Arial" w:hAnsi="Arial"/>
          <w:sz w:val="20"/>
          <w:szCs w:val="20"/>
          <w:shd w:fill="FFFFFF" w:val="clear"/>
        </w:rPr>
        <w:t xml:space="preserve">21.3 O licitante/adjudicatário que cometer qualquer das infrações discriminadas nos subitens anteriores ficará sujeito, sem prejuízo da responsabilidade civil e criminal, às seguintes sanções: </w:t>
      </w:r>
    </w:p>
    <w:p>
      <w:pPr>
        <w:pStyle w:val="ListParagraph"/>
        <w:numPr>
          <w:ilvl w:val="0"/>
          <w:numId w:val="0"/>
        </w:numPr>
        <w:spacing w:lineRule="auto" w:line="276" w:before="120" w:after="120"/>
        <w:ind w:left="2358" w:hanging="0"/>
        <w:contextualSpacing/>
        <w:jc w:val="both"/>
        <w:rPr>
          <w:rFonts w:ascii="Arial" w:hAnsi="Arial" w:cs="Arial"/>
          <w:sz w:val="20"/>
          <w:szCs w:val="20"/>
          <w:highlight w:val="white"/>
        </w:rPr>
      </w:pPr>
      <w:r>
        <w:rPr>
          <w:rFonts w:cs="Arial" w:ascii="Arial" w:hAnsi="Arial"/>
          <w:sz w:val="20"/>
          <w:szCs w:val="20"/>
          <w:shd w:fill="FFFFFF" w:val="clear"/>
        </w:rPr>
        <w:t>21.3.1 Advertência por faltas leves, assim entendidas como aquelas que não acarretarem prejuízos significativos ao objeto da contratação;</w:t>
      </w:r>
    </w:p>
    <w:p>
      <w:pPr>
        <w:pStyle w:val="ListParagraph"/>
        <w:numPr>
          <w:ilvl w:val="0"/>
          <w:numId w:val="0"/>
        </w:numPr>
        <w:spacing w:lineRule="auto" w:line="276" w:before="120" w:after="120"/>
        <w:ind w:left="2358" w:hanging="0"/>
        <w:contextualSpacing/>
        <w:jc w:val="both"/>
        <w:rPr/>
      </w:pPr>
      <w:r>
        <w:rPr>
          <w:rFonts w:cs="Arial" w:ascii="Arial" w:hAnsi="Arial"/>
          <w:sz w:val="20"/>
          <w:szCs w:val="20"/>
          <w:shd w:fill="FFFFFF" w:val="clear"/>
        </w:rPr>
        <w:t>21.3.2 Multa de 10% (dez por cento) sobre o valor estimado do(s) item(s) prejudicado(s) pela conduta do licitante;</w:t>
      </w:r>
    </w:p>
    <w:p>
      <w:pPr>
        <w:pStyle w:val="ListParagraph"/>
        <w:numPr>
          <w:ilvl w:val="0"/>
          <w:numId w:val="0"/>
        </w:numPr>
        <w:spacing w:lineRule="auto" w:line="276" w:before="120" w:after="120"/>
        <w:ind w:left="2358" w:hanging="0"/>
        <w:contextualSpacing/>
        <w:jc w:val="both"/>
        <w:rPr/>
      </w:pPr>
      <w:r>
        <w:rPr>
          <w:rFonts w:cs="Arial" w:ascii="Arial" w:hAnsi="Arial"/>
          <w:sz w:val="20"/>
          <w:szCs w:val="20"/>
          <w:shd w:fill="FFFFFF" w:val="clear"/>
        </w:rPr>
        <w:t>21.3.3 Suspensão de licitar e impedimento de contratar com o órgão, entidade ou unidade administrativa pela qual a Administração Pública opera e atua concretamente, pelo prazo de até dois anos;</w:t>
      </w:r>
    </w:p>
    <w:p>
      <w:pPr>
        <w:pStyle w:val="ListParagraph"/>
        <w:numPr>
          <w:ilvl w:val="0"/>
          <w:numId w:val="0"/>
        </w:numPr>
        <w:spacing w:lineRule="auto" w:line="276" w:before="120" w:after="120"/>
        <w:ind w:left="2358" w:hanging="0"/>
        <w:contextualSpacing/>
        <w:jc w:val="both"/>
        <w:rPr>
          <w:rFonts w:ascii="Arial" w:hAnsi="Arial" w:cs="Arial"/>
          <w:sz w:val="20"/>
          <w:szCs w:val="20"/>
          <w:highlight w:val="white"/>
        </w:rPr>
      </w:pPr>
      <w:r>
        <w:rPr>
          <w:rFonts w:cs="Arial" w:ascii="Arial" w:hAnsi="Arial"/>
          <w:sz w:val="20"/>
          <w:szCs w:val="20"/>
          <w:shd w:fill="FFFFFF" w:val="clear"/>
        </w:rPr>
        <w:t>21.3.4 Impedimento de licitar e de contratar com a União e descredenciamento no SICAF, pelo prazo de até cinco anos;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21.4 A penalidade de multa pode ser aplicada cumulativamente com as demais sanções.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21.5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numPr>
          <w:ilvl w:val="0"/>
          <w:numId w:val="0"/>
        </w:numPr>
        <w:spacing w:lineRule="auto" w:line="276" w:before="120" w:after="120"/>
        <w:ind w:left="1719" w:hanging="0"/>
        <w:contextualSpacing/>
        <w:jc w:val="both"/>
        <w:rPr/>
      </w:pPr>
      <w:r>
        <w:rPr>
          <w:rFonts w:cs="Arial" w:ascii="Arial" w:hAnsi="Arial"/>
          <w:sz w:val="20"/>
          <w:szCs w:val="20"/>
          <w:shd w:fill="FFFFFF" w:val="clear"/>
        </w:rPr>
        <w:t xml:space="preserve">21.6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21.7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21.8 Caso o valor da multa não seja suficiente para cobrir os prejuízos causados pela conduta do licitante, a União ou Entidade poderá cobrar o valor remanescente judicialmente, conforme artigo 419 do Código Civil.</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21.9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21.10 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21.11 As penalidades serão obrigatoriamente registradas no SICAF.</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21.12 As sanções por atos praticados no decorrer da contratação estão previstas no Termo de Referência.</w:t>
      </w:r>
    </w:p>
    <w:p>
      <w:pPr>
        <w:pStyle w:val="Nivel01"/>
        <w:numPr>
          <w:ilvl w:val="0"/>
          <w:numId w:val="0"/>
        </w:numPr>
        <w:ind w:left="360" w:hanging="0"/>
        <w:rPr>
          <w:rFonts w:ascii="Arial" w:hAnsi="Arial" w:cs="Arial"/>
          <w:i/>
          <w:i/>
          <w:color w:val="FF0000"/>
          <w:highlight w:val="cyan"/>
        </w:rPr>
      </w:pPr>
      <w:r>
        <w:rPr>
          <w:rFonts w:cs="Arial" w:ascii="Arial" w:hAnsi="Arial"/>
          <w:i w:val="false"/>
          <w:iCs w:val="false"/>
          <w:color w:val="000000"/>
        </w:rPr>
        <w:t xml:space="preserve">22. DA FORMAÇÃO DO CADASTRO DE RESERVA </w:t>
      </w:r>
    </w:p>
    <w:p>
      <w:pPr>
        <w:pStyle w:val="ListParagraph"/>
        <w:numPr>
          <w:ilvl w:val="0"/>
          <w:numId w:val="0"/>
        </w:numPr>
        <w:spacing w:lineRule="auto" w:line="276" w:before="120" w:after="120"/>
        <w:ind w:left="1719" w:hanging="0"/>
        <w:contextualSpacing/>
        <w:jc w:val="both"/>
        <w:rPr>
          <w:rFonts w:ascii="Arial" w:hAnsi="Arial" w:cs="Arial"/>
          <w:i/>
          <w:i/>
          <w:color w:val="FF0000"/>
          <w:sz w:val="20"/>
          <w:szCs w:val="20"/>
          <w:highlight w:val="cyan"/>
        </w:rPr>
      </w:pPr>
      <w:r>
        <w:rPr>
          <w:rFonts w:cs="Arial" w:ascii="Arial" w:hAnsi="Arial"/>
          <w:i w:val="false"/>
          <w:iCs w:val="false"/>
          <w:color w:val="000000"/>
          <w:sz w:val="20"/>
          <w:szCs w:val="20"/>
        </w:rPr>
        <w:t>22.1 Após o encerramento da etapa competitiva, os licitantes poderão reduzir seus preços ao valor da proposta do licitante mais bem classificado.</w:t>
      </w:r>
    </w:p>
    <w:p>
      <w:pPr>
        <w:pStyle w:val="Normal"/>
        <w:numPr>
          <w:ilvl w:val="0"/>
          <w:numId w:val="0"/>
        </w:numPr>
        <w:spacing w:lineRule="auto" w:line="276" w:before="120" w:after="120"/>
        <w:ind w:left="1424" w:hanging="0"/>
        <w:jc w:val="both"/>
        <w:rPr>
          <w:rFonts w:ascii="Arial" w:hAnsi="Arial" w:cs="Arial"/>
          <w:i/>
          <w:i/>
          <w:color w:val="FF0000"/>
          <w:sz w:val="20"/>
          <w:szCs w:val="20"/>
          <w:highlight w:val="cyan"/>
        </w:rPr>
      </w:pPr>
      <w:r>
        <w:rPr>
          <w:rFonts w:cs="Arial" w:ascii="Arial" w:hAnsi="Arial"/>
          <w:i w:val="false"/>
          <w:iCs w:val="false"/>
          <w:color w:val="000000"/>
          <w:sz w:val="20"/>
          <w:szCs w:val="20"/>
        </w:rPr>
        <w:t>22.2 A apresentação de novas propostas na forma deste item não prejudicará o resultado do certame em relação ao licitante melhor classificado.</w:t>
      </w:r>
    </w:p>
    <w:p>
      <w:pPr>
        <w:pStyle w:val="Normal"/>
        <w:numPr>
          <w:ilvl w:val="0"/>
          <w:numId w:val="0"/>
        </w:numPr>
        <w:spacing w:lineRule="auto" w:line="276" w:before="120" w:after="120"/>
        <w:ind w:left="1424" w:hanging="0"/>
        <w:jc w:val="both"/>
        <w:rPr>
          <w:rFonts w:ascii="Arial" w:hAnsi="Arial" w:cs="Arial"/>
          <w:i/>
          <w:i/>
          <w:color w:val="FF0000"/>
          <w:sz w:val="20"/>
          <w:szCs w:val="20"/>
          <w:highlight w:val="cyan"/>
        </w:rPr>
      </w:pPr>
      <w:r>
        <w:rPr>
          <w:rFonts w:cs="Arial" w:ascii="Arial" w:hAnsi="Arial"/>
          <w:i w:val="false"/>
          <w:iCs w:val="false"/>
          <w:color w:val="000000"/>
          <w:sz w:val="20"/>
          <w:szCs w:val="20"/>
        </w:rPr>
        <w:t>22.3 Havendo um ou mais licitantes que aceitem cotar suas propostas em valor igual ao do licitante vencedor, estes serão classificados segundo a ordem da última proposta individual apresentada durante a fase competitiva.</w:t>
      </w:r>
    </w:p>
    <w:p>
      <w:pPr>
        <w:pStyle w:val="Normal"/>
        <w:numPr>
          <w:ilvl w:val="0"/>
          <w:numId w:val="0"/>
        </w:numPr>
        <w:spacing w:lineRule="auto" w:line="276" w:before="120" w:after="120"/>
        <w:ind w:left="1424" w:hanging="0"/>
        <w:jc w:val="both"/>
        <w:rPr>
          <w:rFonts w:ascii="Arial" w:hAnsi="Arial" w:cs="Arial"/>
          <w:i/>
          <w:i/>
          <w:color w:val="FF0000"/>
          <w:sz w:val="20"/>
          <w:szCs w:val="20"/>
          <w:highlight w:val="cyan"/>
        </w:rPr>
      </w:pPr>
      <w:r>
        <w:rPr>
          <w:rFonts w:cs="Arial" w:ascii="Arial" w:hAnsi="Arial"/>
          <w:i w:val="false"/>
          <w:iCs w:val="false"/>
          <w:color w:val="000000"/>
          <w:sz w:val="20"/>
          <w:szCs w:val="20"/>
        </w:rPr>
        <w:t>22.4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pPr>
      <w:r>
        <w:rPr>
          <w:rFonts w:cs="Arial" w:ascii="Arial" w:hAnsi="Arial"/>
        </w:rPr>
        <w:t>23. DA IMPUGNAÇÃO AO EDITAL E DO PEDIDO DE ESCLARECIMENTO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sz w:val="20"/>
          <w:szCs w:val="20"/>
        </w:rPr>
        <w:t xml:space="preserve">23.1 Até </w:t>
      </w:r>
      <w:r>
        <w:rPr>
          <w:rFonts w:cs="Arial" w:ascii="Arial" w:hAnsi="Arial"/>
          <w:color w:val="000000"/>
          <w:sz w:val="20"/>
          <w:szCs w:val="20"/>
        </w:rPr>
        <w:t>03 (três) dias úteis antes da data designada para a abertura da sessão pública, qualquer pessoa poderá impugnar este Edital.</w:t>
      </w:r>
    </w:p>
    <w:p>
      <w:pPr>
        <w:pStyle w:val="ListParagraph"/>
        <w:numPr>
          <w:ilvl w:val="0"/>
          <w:numId w:val="0"/>
        </w:numPr>
        <w:spacing w:lineRule="auto" w:line="276" w:before="120" w:after="120"/>
        <w:ind w:left="1719" w:hanging="0"/>
        <w:contextualSpacing/>
        <w:jc w:val="both"/>
        <w:rPr/>
      </w:pPr>
      <w:r>
        <w:rPr>
          <w:rFonts w:cs="Arial" w:ascii="Arial" w:hAnsi="Arial"/>
          <w:color w:val="000000"/>
          <w:sz w:val="20"/>
          <w:szCs w:val="20"/>
        </w:rPr>
        <w:t xml:space="preserve">23.2 A impugnação poderá ser realizada por forma eletrônica, pelo e-mail </w:t>
      </w:r>
      <w:hyperlink r:id="rId4">
        <w:r>
          <w:rPr>
            <w:rStyle w:val="LinkdaInternet"/>
            <w:rFonts w:cs="Arial" w:ascii="Arial" w:hAnsi="Arial"/>
            <w:color w:val="000000"/>
            <w:sz w:val="20"/>
            <w:szCs w:val="20"/>
          </w:rPr>
          <w:t>compras@proginst.ufal.br</w:t>
        </w:r>
      </w:hyperlink>
      <w:r>
        <w:rPr>
          <w:rFonts w:cs="Arial" w:ascii="Arial" w:hAnsi="Arial"/>
          <w:color w:val="FF0000"/>
          <w:sz w:val="20"/>
          <w:szCs w:val="20"/>
        </w:rPr>
        <w:t xml:space="preserve"> </w:t>
      </w:r>
      <w:r>
        <w:rPr>
          <w:rFonts w:cs="Arial" w:ascii="Arial" w:hAnsi="Arial"/>
          <w:color w:val="000000"/>
          <w:sz w:val="20"/>
          <w:szCs w:val="20"/>
        </w:rPr>
        <w:t xml:space="preserve">ou por petição dirigida ou protocolada no endereço </w:t>
      </w:r>
      <w:r>
        <w:rPr>
          <w:rFonts w:eastAsia="ＭＳ 明朝" w:cs="Arial" w:ascii="Arial" w:hAnsi="Arial"/>
          <w:color w:val="000000"/>
          <w:sz w:val="20"/>
          <w:szCs w:val="20"/>
          <w:lang w:val="pt-BR" w:eastAsia="pt-BR" w:bidi="ar-SA"/>
        </w:rPr>
        <w:t>Universidade Federal de Alagoas, Campus A. C. Simões, A/C Gerência de Compras e Licitação/PROGINST, Av. Lourival Melo Mota, s/n, Cidade Universitária - Maceió - AL, CEP: 57072-970.</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23.2 Caberá ao Pregoeiro, auxiliado pelos responsáveis pela elaboração deste Edital e seus anexos, decidir sobre a impugnação no prazo de até dois dias úteis contados da data de recebimento da impugnação.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23.3 Acolhida a impugnação, será definida e publicada nova data para a realização do certame.</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23.4 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numPr>
          <w:ilvl w:val="0"/>
          <w:numId w:val="0"/>
        </w:numPr>
        <w:spacing w:lineRule="auto" w:line="276" w:before="120" w:after="120"/>
        <w:ind w:left="999" w:hanging="0"/>
        <w:jc w:val="both"/>
        <w:rPr>
          <w:rFonts w:ascii="Arial" w:hAnsi="Arial" w:cs="Arial"/>
          <w:color w:val="000000"/>
          <w:sz w:val="20"/>
          <w:szCs w:val="20"/>
          <w:highlight w:val="yellow"/>
        </w:rPr>
      </w:pPr>
      <w:r>
        <w:rPr>
          <w:rFonts w:cs="Arial" w:ascii="Arial" w:hAnsi="Arial"/>
          <w:color w:val="000000"/>
          <w:sz w:val="20"/>
          <w:szCs w:val="20"/>
        </w:rPr>
        <w:t>23.5 O pregoeiro responderá aos pedidos de esclarecimentos no prazo de dois dias úteis, contado da data de recebimento do pedido, e poderá requisitar subsídios formais aos responsáveis pela elaboração do edital e dos anexos.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23.6 As impugnações e pedidos de esclarecimentos não suspendem os prazos previstos no certame.</w:t>
      </w:r>
    </w:p>
    <w:p>
      <w:pPr>
        <w:pStyle w:val="Normal"/>
        <w:numPr>
          <w:ilvl w:val="0"/>
          <w:numId w:val="0"/>
        </w:numPr>
        <w:spacing w:lineRule="auto" w:line="276" w:before="120" w:after="120"/>
        <w:ind w:left="1638" w:hanging="0"/>
        <w:jc w:val="both"/>
        <w:rPr>
          <w:rFonts w:ascii="Arial" w:hAnsi="Arial" w:cs="Arial"/>
          <w:color w:val="000000"/>
          <w:sz w:val="20"/>
          <w:szCs w:val="20"/>
          <w:highlight w:val="yellow"/>
        </w:rPr>
      </w:pPr>
      <w:r>
        <w:rPr>
          <w:rFonts w:cs="Arial" w:ascii="Arial" w:hAnsi="Arial"/>
          <w:color w:val="000000"/>
          <w:sz w:val="20"/>
          <w:szCs w:val="20"/>
        </w:rPr>
        <w:t>23.6.1 A concessão de efeito suspensivo à impugnação é medida excepcional e deverá ser motivada pelo pregoeiro, nos autos do processo de licitação.</w:t>
      </w:r>
    </w:p>
    <w:p>
      <w:pPr>
        <w:pStyle w:val="Normal"/>
        <w:widowControl/>
        <w:numPr>
          <w:ilvl w:val="0"/>
          <w:numId w:val="0"/>
        </w:numPr>
        <w:bidi w:val="0"/>
        <w:spacing w:lineRule="auto" w:line="276" w:before="120" w:after="120"/>
        <w:ind w:left="999" w:right="0" w:hanging="0"/>
        <w:jc w:val="both"/>
        <w:rPr/>
      </w:pPr>
      <w:r>
        <w:rPr>
          <w:rFonts w:cs="Arial" w:ascii="Arial" w:hAnsi="Arial"/>
          <w:color w:val="000000"/>
          <w:sz w:val="20"/>
          <w:szCs w:val="20"/>
        </w:rPr>
        <w:t>23.7 As respostas aos pedidos de esclarecimentos serão divulgadas pelo sistema e vincularão os participantes e a administração.</w:t>
      </w:r>
    </w:p>
    <w:p>
      <w:pPr>
        <w:pStyle w:val="Normal"/>
        <w:widowControl/>
        <w:numPr>
          <w:ilvl w:val="0"/>
          <w:numId w:val="0"/>
        </w:numPr>
        <w:bidi w:val="0"/>
        <w:spacing w:lineRule="auto" w:line="276" w:before="120" w:after="120"/>
        <w:ind w:left="999" w:right="0"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24. DAS DISPOSIÇÕES GERAIS</w:t>
      </w:r>
    </w:p>
    <w:p>
      <w:pPr>
        <w:pStyle w:val="Normal"/>
        <w:rPr>
          <w:rFonts w:ascii="Arial" w:hAnsi="Arial" w:cs="Arial"/>
          <w:sz w:val="20"/>
          <w:szCs w:val="20"/>
        </w:rPr>
      </w:pPr>
      <w:r>
        <w:rPr>
          <w:rFonts w:cs="Arial" w:ascii="Arial" w:hAnsi="Arial"/>
          <w:sz w:val="20"/>
          <w:szCs w:val="20"/>
        </w:rPr>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24.1 Da sessão pública do Pregão divulgar-se-á Ata no sistema eletrônico.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0"/>
          <w:numId w:val="0"/>
        </w:numPr>
        <w:spacing w:lineRule="auto" w:line="276" w:before="120" w:after="120"/>
        <w:ind w:left="999" w:hanging="0"/>
        <w:jc w:val="both"/>
        <w:rPr/>
      </w:pPr>
      <w:r>
        <w:rPr>
          <w:rFonts w:cs="Arial" w:ascii="Arial" w:hAnsi="Arial"/>
          <w:color w:val="000000"/>
          <w:sz w:val="20"/>
          <w:szCs w:val="20"/>
        </w:rPr>
        <w:t>24.3 Todas as referências de tempo no Edital, no aviso e durante a sessão pública observarão o horário de Brasília – DF.</w:t>
      </w:r>
    </w:p>
    <w:p>
      <w:pPr>
        <w:pStyle w:val="Normal"/>
        <w:numPr>
          <w:ilvl w:val="0"/>
          <w:numId w:val="0"/>
        </w:numPr>
        <w:spacing w:lineRule="auto" w:line="276" w:before="120" w:after="120"/>
        <w:ind w:left="999" w:hanging="0"/>
        <w:jc w:val="both"/>
        <w:rPr/>
      </w:pPr>
      <w:r>
        <w:rPr>
          <w:rFonts w:cs="Arial" w:ascii="Arial" w:hAnsi="Arial"/>
          <w:color w:val="000000" w:themeColor="text1"/>
          <w:sz w:val="20"/>
          <w:szCs w:val="20"/>
        </w:rPr>
        <w:t>24.4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24.5 A homologação do resultado desta licitação não implicará direito à contratação.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24.7 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24.8 Na contagem dos prazos estabelecidos neste Edital e seus Anexos, excluir-se-á o dia do início e incluir-se-á o do vencimento. Só se iniciam e vencem os prazos em dias de expediente na Administração.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24.9 O desatendimento de exigências formais não essenciais não importará o afastamento do licitante, desde que seja possível o aproveitamento do ato, observados os princípios da isonomia e do interesse público.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24.10 Em caso de divergência entre disposições deste Edital e de seus anexos ou demais peças que compõem o processo, prevalecerá as deste Edital.</w:t>
      </w:r>
    </w:p>
    <w:p>
      <w:pPr>
        <w:pStyle w:val="Normal"/>
        <w:numPr>
          <w:ilvl w:val="0"/>
          <w:numId w:val="0"/>
        </w:numPr>
        <w:spacing w:lineRule="auto" w:line="276" w:before="120" w:after="120"/>
        <w:ind w:left="999" w:hanging="0"/>
        <w:jc w:val="both"/>
        <w:rPr/>
      </w:pPr>
      <w:r>
        <w:rPr>
          <w:rFonts w:cs="Arial" w:ascii="Arial" w:hAnsi="Arial"/>
          <w:color w:val="000000"/>
          <w:sz w:val="20"/>
          <w:szCs w:val="20"/>
        </w:rPr>
        <w:t xml:space="preserve">24.11 O Edital está disponibilizado, na íntegra, </w:t>
      </w:r>
      <w:r>
        <w:rPr>
          <w:rFonts w:eastAsia="Arial" w:cs="Arial" w:ascii="Arial" w:hAnsi="Arial"/>
          <w:color w:val="000000"/>
          <w:sz w:val="20"/>
          <w:szCs w:val="20"/>
        </w:rPr>
        <w:t>no endereço eletrônico www.comprasgovernamentais.gov.br, e também poderão ser lidos e/ou obtidos no endereço Universidade Federal de Alagoas, Campus A. C. Simões, A/C Gerência de Compras e Licitação/PROGINST, Av. Lourival Melo Mota, s/n, Cidade Universitária - Maceió - AL, CEP: 57072-970, nos dias úteis, no horário das 07:00 horas às 19:00 horas, mesmo endereço e período no qual os autos do processo administrativo permanecerão com vista franqueada aos interessados</w:t>
      </w:r>
      <w:r>
        <w:rPr>
          <w:rFonts w:cs="Arial" w:ascii="Arial" w:hAnsi="Arial"/>
          <w:color w:val="000000"/>
          <w:sz w:val="20"/>
          <w:szCs w:val="20"/>
        </w:rPr>
        <w:t>.</w:t>
      </w:r>
    </w:p>
    <w:p>
      <w:pPr>
        <w:pStyle w:val="Normal"/>
        <w:numPr>
          <w:ilvl w:val="1"/>
          <w:numId w:val="3"/>
        </w:numPr>
        <w:spacing w:lineRule="auto" w:line="276" w:before="120" w:after="120"/>
        <w:jc w:val="both"/>
        <w:rPr>
          <w:rFonts w:ascii="Arial" w:hAnsi="Arial" w:cs="Arial"/>
          <w:color w:val="000000"/>
          <w:sz w:val="20"/>
          <w:szCs w:val="20"/>
        </w:rPr>
      </w:pPr>
      <w:r>
        <w:rPr>
          <w:rFonts w:cs="Arial" w:ascii="Arial" w:hAnsi="Arial"/>
          <w:color w:val="000000"/>
          <w:sz w:val="20"/>
          <w:szCs w:val="20"/>
        </w:rPr>
        <w:t>Integram este Edital, para todos os fins e efeitos, os seguintes anexos:</w:t>
      </w:r>
    </w:p>
    <w:p>
      <w:pPr>
        <w:pStyle w:val="Normal"/>
        <w:numPr>
          <w:ilvl w:val="2"/>
          <w:numId w:val="3"/>
        </w:numPr>
        <w:tabs>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 xml:space="preserve"> </w:t>
      </w:r>
      <w:r>
        <w:rPr>
          <w:rFonts w:cs="Arial" w:ascii="Arial" w:hAnsi="Arial"/>
          <w:color w:val="000000"/>
          <w:sz w:val="20"/>
          <w:szCs w:val="20"/>
        </w:rPr>
        <w:t>ANEXO I - Termo de Referência</w:t>
      </w:r>
    </w:p>
    <w:p>
      <w:pPr>
        <w:pStyle w:val="Normal"/>
        <w:numPr>
          <w:ilvl w:val="2"/>
          <w:numId w:val="3"/>
        </w:numPr>
        <w:spacing w:lineRule="auto" w:line="276" w:before="120" w:after="120"/>
        <w:jc w:val="both"/>
        <w:rPr>
          <w:rFonts w:ascii="Arial" w:hAnsi="Arial" w:cs="Arial"/>
          <w:color w:val="000000"/>
          <w:sz w:val="20"/>
          <w:szCs w:val="20"/>
        </w:rPr>
      </w:pPr>
      <w:r>
        <w:rPr>
          <w:rFonts w:cs="Arial" w:ascii="Arial" w:hAnsi="Arial"/>
          <w:color w:val="000000"/>
          <w:sz w:val="20"/>
          <w:szCs w:val="20"/>
        </w:rPr>
        <w:t>ANEXO II – Minuta de Ata de Registro de Preços, se for o caso.</w:t>
      </w:r>
    </w:p>
    <w:p>
      <w:pPr>
        <w:pStyle w:val="Normal"/>
        <w:numPr>
          <w:ilvl w:val="2"/>
          <w:numId w:val="3"/>
        </w:numPr>
        <w:tabs>
          <w:tab w:val="left" w:pos="1440" w:leader="none"/>
        </w:tabs>
        <w:snapToGrid w:val="false"/>
        <w:spacing w:lineRule="auto" w:line="276" w:before="120" w:after="120"/>
        <w:ind w:left="1134" w:hanging="0"/>
        <w:jc w:val="both"/>
        <w:rPr/>
      </w:pPr>
      <w:r>
        <w:rPr>
          <w:rFonts w:cs="Arial" w:ascii="Arial" w:hAnsi="Arial"/>
          <w:bCs/>
          <w:iCs/>
          <w:color w:val="000000"/>
          <w:sz w:val="20"/>
          <w:szCs w:val="20"/>
        </w:rPr>
        <w:t xml:space="preserve"> </w:t>
      </w:r>
      <w:r>
        <w:rPr>
          <w:rFonts w:cs="Arial" w:ascii="Arial" w:hAnsi="Arial"/>
          <w:bCs/>
          <w:iCs/>
          <w:color w:val="000000"/>
          <w:sz w:val="20"/>
          <w:szCs w:val="20"/>
        </w:rPr>
        <w:t>ANEXO III – Modelo de Declaração de atendimento a critérios de sustentabilidade sócio-cultural-ambiental.</w:t>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 , ......... de ................................. de 20.....</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240" w:after="240"/>
        <w:ind w:firstLine="709"/>
        <w:jc w:val="center"/>
        <w:rPr/>
      </w:pPr>
      <w:r>
        <w:rPr>
          <w:rFonts w:cs="Arial" w:ascii="Arial" w:hAnsi="Arial"/>
          <w:b/>
          <w:bCs/>
          <w:iCs/>
          <w:color w:val="000000"/>
          <w:sz w:val="20"/>
          <w:szCs w:val="20"/>
        </w:rPr>
        <w:t>MARIA VALÉRIA COSTA CORREIA</w:t>
      </w:r>
    </w:p>
    <w:p>
      <w:pPr>
        <w:pStyle w:val="Normal"/>
        <w:spacing w:lineRule="auto" w:line="240" w:before="240" w:after="240"/>
        <w:ind w:firstLine="709"/>
        <w:jc w:val="center"/>
        <w:rPr/>
      </w:pPr>
      <w:r>
        <w:rPr>
          <w:rFonts w:cs="Arial" w:ascii="Arial" w:hAnsi="Arial"/>
          <w:b/>
          <w:bCs/>
          <w:iCs/>
          <w:color w:val="000000"/>
          <w:sz w:val="20"/>
          <w:szCs w:val="20"/>
        </w:rPr>
        <w:t>Reitora</w:t>
      </w:r>
    </w:p>
    <w:sectPr>
      <w:footerReference w:type="default" r:id="rId5"/>
      <w:type w:val="nextPage"/>
      <w:pgSz w:w="11906" w:h="16838"/>
      <w:pgMar w:left="1701" w:right="1134"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Outubro/2019</w:t>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2"/>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20"/>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ind w:left="360" w:hanging="360"/>
      </w:pPr>
      <w:rPr>
        <w:b/>
        <w:rFonts w:ascii="Arial" w:hAnsi="Arial"/>
      </w:rPr>
    </w:lvl>
    <w:lvl w:ilvl="1">
      <w:start w:val="1"/>
      <w:numFmt w:val="decimal"/>
      <w:lvlText w:val="%1.%2."/>
      <w:lvlJc w:val="left"/>
      <w:pPr>
        <w:ind w:left="999" w:hanging="432"/>
      </w:pPr>
      <w:rPr>
        <w:dstrike w:val="false"/>
        <w:strike w:val="false"/>
        <w:sz w:val="20"/>
        <w:i w:val="false"/>
        <w:u w:val="none"/>
        <w:b w:val="false"/>
        <w:szCs w:val="20"/>
        <w:rFonts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3"/>
      <w:numFmt w:val="decimal"/>
      <w:lvlText w:val="%1"/>
      <w:lvlJc w:val="left"/>
      <w:pPr>
        <w:ind w:left="360" w:hanging="360"/>
      </w:pPr>
    </w:lvl>
    <w:lvl w:ilvl="1">
      <w:start w:val="1"/>
      <w:numFmt w:val="decimal"/>
      <w:lvlText w:val="%1.%2"/>
      <w:lvlJc w:val="left"/>
      <w:pPr>
        <w:ind w:left="785" w:hanging="360"/>
      </w:pPr>
      <w:rPr>
        <w:b w:val="fals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lvl w:ilvl="0">
      <w:start w:val="9"/>
      <w:numFmt w:val="decimal"/>
      <w:lvlText w:val="%1."/>
      <w:lvlJc w:val="left"/>
      <w:pPr>
        <w:ind w:left="360" w:hanging="360"/>
      </w:pPr>
      <w:rPr>
        <w:b/>
      </w:rPr>
    </w:lvl>
    <w:lvl w:ilvl="1">
      <w:start w:val="5"/>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a05"/>
    <w:pPr>
      <w:widowControl/>
      <w:bidi w:val="0"/>
      <w:jc w:val="left"/>
    </w:pPr>
    <w:rPr>
      <w:rFonts w:ascii="Ecofont_Spranq_eco_Sans" w:hAnsi="Ecofont_Spranq_eco_Sans" w:eastAsia="ＭＳ 明朝" w:cs="Tahoma" w:eastAsiaTheme="minorEastAsia"/>
      <w:color w:val="00000A"/>
      <w:sz w:val="24"/>
      <w:szCs w:val="24"/>
      <w:lang w:val="pt-BR" w:eastAsia="pt-BR" w:bidi="ar-SA"/>
    </w:rPr>
  </w:style>
  <w:style w:type="paragraph" w:styleId="Ttulo1">
    <w:name w:val="Heading 1"/>
    <w:basedOn w:val="Normal"/>
    <w:next w:val="Normal"/>
    <w:link w:val="Ttulo1Char"/>
    <w:qFormat/>
    <w:rsid w:val="007f77ad"/>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4">
    <w:name w:val="ListLabel 4"/>
    <w:qFormat/>
    <w:rPr>
      <w:b w:val="false"/>
    </w:rPr>
  </w:style>
  <w:style w:type="character" w:styleId="ListLabel5">
    <w:name w:val="ListLabel 5"/>
    <w:qFormat/>
    <w:rPr>
      <w:b/>
    </w:rPr>
  </w:style>
  <w:style w:type="character" w:styleId="ListLabel6">
    <w:name w:val="ListLabel 6"/>
    <w:qFormat/>
    <w:rPr>
      <w:rFonts w:ascii="Arial" w:hAnsi="Arial" w:cs="Arial"/>
      <w:b/>
      <w:i w:val="false"/>
      <w:strike w:val="false"/>
      <w:dstrike w:val="false"/>
      <w:color w:val="00000A"/>
      <w:sz w:val="20"/>
      <w:szCs w:val="20"/>
      <w:u w:val="none"/>
    </w:rPr>
  </w:style>
  <w:style w:type="character" w:styleId="ListLabel7">
    <w:name w:val="ListLabel 7"/>
    <w:qFormat/>
    <w:rPr>
      <w:rFonts w:cs="Arial"/>
      <w:b w:val="false"/>
      <w:i w:val="false"/>
      <w:strike w:val="false"/>
      <w:dstrike w:val="false"/>
      <w:color w:val="00000A"/>
      <w:sz w:val="20"/>
      <w:szCs w:val="20"/>
    </w:rPr>
  </w:style>
  <w:style w:type="character" w:styleId="ListLabel8">
    <w:name w:val="ListLabel 8"/>
    <w:qFormat/>
    <w:rPr>
      <w:strike w:val="false"/>
      <w:dstrike w:val="false"/>
    </w:rPr>
  </w:style>
  <w:style w:type="character" w:styleId="ListLabel9">
    <w:name w:val="ListLabel 9"/>
    <w:qFormat/>
    <w:rPr>
      <w:b/>
    </w:rPr>
  </w:style>
  <w:style w:type="character" w:styleId="ListLabel10">
    <w:name w:val="ListLabel 10"/>
    <w:qFormat/>
    <w:rPr>
      <w:rFonts w:ascii="Arial" w:hAnsi="Arial" w:cs="Arial"/>
      <w:b w:val="false"/>
      <w:i w:val="false"/>
      <w:strike w:val="false"/>
      <w:dstrike w:val="false"/>
      <w:color w:val="00000A"/>
      <w:sz w:val="20"/>
      <w:szCs w:val="20"/>
      <w:u w:val="none"/>
    </w:rPr>
  </w:style>
  <w:style w:type="character" w:styleId="ListLabel11">
    <w:name w:val="ListLabel 11"/>
    <w:qFormat/>
    <w:rPr>
      <w:rFonts w:cs="Arial"/>
      <w:b w:val="false"/>
      <w:i w:val="false"/>
      <w:strike w:val="false"/>
      <w:dstrike w:val="false"/>
      <w:color w:val="00000A"/>
      <w:sz w:val="20"/>
      <w:szCs w:val="20"/>
    </w:rPr>
  </w:style>
  <w:style w:type="character" w:styleId="ListLabel12">
    <w:name w:val="ListLabel 12"/>
    <w:qFormat/>
    <w:rPr>
      <w:b/>
    </w:rPr>
  </w:style>
  <w:style w:type="character" w:styleId="ListLabel13">
    <w:name w:val="ListLabel 13"/>
    <w:qFormat/>
    <w:rPr>
      <w:rFonts w:ascii="Arial" w:hAnsi="Arial" w:cs="Arial"/>
      <w:b/>
      <w:i w:val="false"/>
      <w:strike w:val="false"/>
      <w:dstrike w:val="false"/>
      <w:color w:val="00000A"/>
      <w:sz w:val="20"/>
      <w:szCs w:val="20"/>
      <w:u w:val="none"/>
    </w:rPr>
  </w:style>
  <w:style w:type="character" w:styleId="ListLabel14">
    <w:name w:val="ListLabel 14"/>
    <w:qFormat/>
    <w:rPr>
      <w:rFonts w:ascii="Arial" w:hAnsi="Arial" w:cs="Arial"/>
      <w:b/>
      <w:i w:val="false"/>
      <w:strike w:val="false"/>
      <w:dstrike w:val="false"/>
      <w:color w:val="00000A"/>
      <w:sz w:val="20"/>
      <w:szCs w:val="20"/>
    </w:rPr>
  </w:style>
  <w:style w:type="character" w:styleId="ListLabel15">
    <w:name w:val="ListLabel 15"/>
    <w:qFormat/>
    <w:rPr>
      <w:b w:val="false"/>
    </w:rPr>
  </w:style>
  <w:style w:type="character" w:styleId="ListLabel16">
    <w:name w:val="ListLabel 16"/>
    <w:qFormat/>
    <w:rPr>
      <w:b/>
    </w:rPr>
  </w:style>
  <w:style w:type="character" w:styleId="ListLabel17">
    <w:name w:val="ListLabel 17"/>
    <w:qFormat/>
    <w:rPr>
      <w:rFonts w:ascii="Arial" w:hAnsi="Arial" w:cs="Arial"/>
      <w:b w:val="false"/>
      <w:i w:val="false"/>
      <w:strike w:val="false"/>
      <w:dstrike w:val="false"/>
      <w:color w:val="00000A"/>
      <w:sz w:val="20"/>
      <w:szCs w:val="20"/>
      <w:u w:val="none"/>
    </w:rPr>
  </w:style>
  <w:style w:type="character" w:styleId="ListLabel18">
    <w:name w:val="ListLabel 18"/>
    <w:qFormat/>
    <w:rPr>
      <w:rFonts w:cs="Arial"/>
      <w:b w:val="false"/>
      <w:i w:val="false"/>
      <w:strike w:val="false"/>
      <w:dstrike w:val="false"/>
      <w:color w:val="00000A"/>
      <w:sz w:val="20"/>
      <w:szCs w:val="20"/>
    </w:rPr>
  </w:style>
  <w:style w:type="character" w:styleId="ListLabel19">
    <w:name w:val="ListLabel 19"/>
    <w:qFormat/>
    <w:rPr>
      <w:b/>
    </w:rPr>
  </w:style>
  <w:style w:type="character" w:styleId="ListLabel20">
    <w:name w:val="ListLabel 20"/>
    <w:qFormat/>
    <w:rPr>
      <w:rFonts w:ascii="Arial" w:hAnsi="Arial" w:cs="Arial"/>
      <w:b w:val="false"/>
      <w:i w:val="false"/>
      <w:strike w:val="false"/>
      <w:dstrike w:val="false"/>
      <w:color w:val="00000A"/>
      <w:sz w:val="20"/>
      <w:szCs w:val="20"/>
      <w:u w:val="none"/>
    </w:rPr>
  </w:style>
  <w:style w:type="character" w:styleId="ListLabel21">
    <w:name w:val="ListLabel 21"/>
    <w:qFormat/>
    <w:rPr>
      <w:rFonts w:ascii="Arial" w:hAnsi="Arial" w:cs="Arial"/>
      <w:b w:val="false"/>
      <w:i w:val="false"/>
      <w:strike w:val="false"/>
      <w:dstrike w:val="false"/>
      <w:color w:val="00000A"/>
      <w:sz w:val="20"/>
      <w:szCs w:val="20"/>
    </w:rPr>
  </w:style>
  <w:style w:type="character" w:styleId="ListLabel22">
    <w:name w:val="ListLabel 22"/>
    <w:qFormat/>
    <w:rPr>
      <w:b/>
    </w:rPr>
  </w:style>
  <w:style w:type="character" w:styleId="ListLabel23">
    <w:name w:val="ListLabel 23"/>
    <w:qFormat/>
    <w:rPr>
      <w:rFonts w:cs="Arial"/>
      <w:b w:val="false"/>
      <w:i w:val="false"/>
      <w:strike w:val="false"/>
      <w:dstrike w:val="false"/>
      <w:color w:val="00000A"/>
      <w:sz w:val="20"/>
      <w:szCs w:val="20"/>
      <w:u w:val="none"/>
    </w:rPr>
  </w:style>
  <w:style w:type="character" w:styleId="ListLabel24">
    <w:name w:val="ListLabel 24"/>
    <w:qFormat/>
    <w:rPr>
      <w:rFonts w:cs="Arial"/>
      <w:b w:val="false"/>
      <w:i w:val="false"/>
      <w:strike w:val="false"/>
      <w:dstrike w:val="false"/>
      <w:color w:val="00000A"/>
      <w:sz w:val="20"/>
      <w:szCs w:val="20"/>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00000A"/>
      <w:sz w:val="20"/>
      <w:szCs w:val="20"/>
      <w:u w:val="none"/>
    </w:rPr>
  </w:style>
  <w:style w:type="character" w:styleId="ListLabel27">
    <w:name w:val="ListLabel 27"/>
    <w:qFormat/>
    <w:rPr>
      <w:rFonts w:ascii="Arial" w:hAnsi="Arial" w:cs="Arial"/>
      <w:b w:val="false"/>
      <w:i w:val="false"/>
      <w:strike w:val="false"/>
      <w:dstrike w:val="false"/>
      <w:color w:val="00000A"/>
      <w:sz w:val="20"/>
      <w:szCs w:val="20"/>
    </w:rPr>
  </w:style>
  <w:style w:type="character" w:styleId="ListLabel28">
    <w:name w:val="ListLabel 28"/>
    <w:qFormat/>
    <w:rPr>
      <w:b/>
    </w:rPr>
  </w:style>
  <w:style w:type="character" w:styleId="ListLabel29">
    <w:name w:val="ListLabel 29"/>
    <w:qFormat/>
    <w:rPr>
      <w:rFonts w:cs="Arial"/>
      <w:b w:val="false"/>
      <w:i w:val="false"/>
      <w:strike w:val="false"/>
      <w:dstrike w:val="false"/>
      <w:color w:val="00000A"/>
      <w:sz w:val="20"/>
      <w:szCs w:val="20"/>
      <w:u w:val="none"/>
    </w:rPr>
  </w:style>
  <w:style w:type="character" w:styleId="ListLabel30">
    <w:name w:val="ListLabel 30"/>
    <w:qFormat/>
    <w:rPr>
      <w:rFonts w:cs="Arial"/>
      <w:b w:val="false"/>
      <w:i w:val="false"/>
      <w:strike w:val="false"/>
      <w:dstrike w:val="false"/>
      <w:color w:val="00000A"/>
      <w:sz w:val="20"/>
      <w:szCs w:val="20"/>
    </w:rPr>
  </w:style>
  <w:style w:type="character" w:styleId="ListLabel31">
    <w:name w:val="ListLabel 31"/>
    <w:qFormat/>
    <w:rPr>
      <w:b/>
    </w:rPr>
  </w:style>
  <w:style w:type="character" w:styleId="ListLabel32">
    <w:name w:val="ListLabel 32"/>
    <w:qFormat/>
    <w:rPr>
      <w:rFonts w:ascii="Arial" w:hAnsi="Arial" w:cs="Arial"/>
      <w:b w:val="false"/>
      <w:i w:val="false"/>
      <w:strike w:val="false"/>
      <w:dstrike w:val="false"/>
      <w:color w:val="00000A"/>
      <w:sz w:val="20"/>
      <w:szCs w:val="20"/>
      <w:u w:val="none"/>
    </w:rPr>
  </w:style>
  <w:style w:type="character" w:styleId="ListLabel33">
    <w:name w:val="ListLabel 33"/>
    <w:qFormat/>
    <w:rPr>
      <w:rFonts w:ascii="Arial" w:hAnsi="Arial" w:cs="Arial"/>
      <w:b w:val="false"/>
      <w:i w:val="false"/>
      <w:strike w:val="false"/>
      <w:dstrike w:val="false"/>
      <w:color w:val="00000A"/>
      <w:sz w:val="20"/>
      <w:szCs w:val="20"/>
    </w:rPr>
  </w:style>
  <w:style w:type="character" w:styleId="ListLabel34">
    <w:name w:val="ListLabel 34"/>
    <w:qFormat/>
    <w:rPr>
      <w:b/>
    </w:rPr>
  </w:style>
  <w:style w:type="character" w:styleId="ListLabel35">
    <w:name w:val="ListLabel 35"/>
    <w:qFormat/>
    <w:rPr>
      <w:rFonts w:ascii="Arial" w:hAnsi="Arial" w:cs="Arial"/>
      <w:b w:val="false"/>
      <w:i w:val="false"/>
      <w:strike w:val="false"/>
      <w:dstrike w:val="false"/>
      <w:color w:val="00000A"/>
      <w:sz w:val="20"/>
      <w:szCs w:val="20"/>
      <w:u w:val="none"/>
    </w:rPr>
  </w:style>
  <w:style w:type="character" w:styleId="ListLabel36">
    <w:name w:val="ListLabel 36"/>
    <w:qFormat/>
    <w:rPr>
      <w:rFonts w:ascii="Arial" w:hAnsi="Arial" w:cs="Arial"/>
      <w:b w:val="false"/>
      <w:i w:val="false"/>
      <w:strike w:val="false"/>
      <w:dstrike w:val="false"/>
      <w:color w:val="00000A"/>
      <w:sz w:val="20"/>
      <w:szCs w:val="20"/>
    </w:rPr>
  </w:style>
  <w:style w:type="character" w:styleId="ListLabel37">
    <w:name w:val="ListLabel 37"/>
    <w:qFormat/>
    <w:rPr>
      <w:b w:val="false"/>
    </w:rPr>
  </w:style>
  <w:style w:type="character" w:styleId="ListLabel38">
    <w:name w:val="ListLabel 38"/>
    <w:qFormat/>
    <w:rPr>
      <w:b/>
    </w:rPr>
  </w:style>
  <w:style w:type="character" w:styleId="ListLabel39">
    <w:name w:val="ListLabel 39"/>
    <w:qFormat/>
    <w:rPr>
      <w:rFonts w:ascii="Arial" w:hAnsi="Arial" w:cs="Arial"/>
      <w:b/>
      <w:i w:val="false"/>
      <w:strike w:val="false"/>
      <w:dstrike w:val="false"/>
      <w:color w:val="00000A"/>
      <w:sz w:val="20"/>
      <w:szCs w:val="20"/>
      <w:u w:val="none"/>
    </w:rPr>
  </w:style>
  <w:style w:type="character" w:styleId="ListLabel40">
    <w:name w:val="ListLabel 40"/>
    <w:qFormat/>
    <w:rPr>
      <w:rFonts w:cs="Arial"/>
      <w:b w:val="false"/>
      <w:i w:val="false"/>
      <w:strike w:val="false"/>
      <w:dstrike w:val="false"/>
      <w:color w:val="00000A"/>
      <w:sz w:val="20"/>
      <w:szCs w:val="20"/>
    </w:rPr>
  </w:style>
  <w:style w:type="character" w:styleId="ListLabel41">
    <w:name w:val="ListLabel 41"/>
    <w:qFormat/>
    <w:rPr>
      <w:b/>
      <w:i w:val="false"/>
      <w:strike w:val="false"/>
      <w:dstrike w:val="false"/>
    </w:rPr>
  </w:style>
  <w:style w:type="character" w:styleId="ListLabel42">
    <w:name w:val="ListLabel 42"/>
    <w:qFormat/>
    <w:rPr>
      <w:b w:val="false"/>
      <w:strike w:val="false"/>
      <w:dstrike w:val="false"/>
    </w:rPr>
  </w:style>
  <w:style w:type="character" w:styleId="ListLabel43">
    <w:name w:val="ListLabel 43"/>
    <w:qFormat/>
    <w:rPr>
      <w:i w:val="false"/>
      <w:strike w:val="false"/>
      <w:dstrike w:val="false"/>
    </w:rPr>
  </w:style>
  <w:style w:type="character" w:styleId="ListLabel44">
    <w:name w:val="ListLabel 44"/>
    <w:qFormat/>
    <w:rPr>
      <w:rFonts w:ascii="Arial" w:hAnsi="Arial"/>
      <w:b/>
      <w:strike w:val="false"/>
      <w:dstrike w:val="false"/>
      <w:sz w:val="20"/>
    </w:rPr>
  </w:style>
  <w:style w:type="character" w:styleId="ListLabel45">
    <w:name w:val="ListLabel 45"/>
    <w:qFormat/>
    <w:rPr>
      <w:b/>
    </w:rPr>
  </w:style>
  <w:style w:type="character" w:styleId="ListLabel46">
    <w:name w:val="ListLabel 46"/>
    <w:qFormat/>
    <w:rPr>
      <w:rFonts w:cs="Arial"/>
      <w:b w:val="false"/>
      <w:i w:val="false"/>
      <w:strike w:val="false"/>
      <w:dstrike w:val="false"/>
      <w:color w:val="00000A"/>
      <w:sz w:val="20"/>
      <w:szCs w:val="20"/>
      <w:u w:val="none"/>
    </w:rPr>
  </w:style>
  <w:style w:type="character" w:styleId="ListLabel47">
    <w:name w:val="ListLabel 47"/>
    <w:qFormat/>
    <w:rPr>
      <w:rFonts w:cs="Arial"/>
      <w:b w:val="false"/>
      <w:i w:val="false"/>
      <w:strike w:val="false"/>
      <w:dstrike w:val="false"/>
      <w:color w:val="00000A"/>
      <w:sz w:val="20"/>
      <w:szCs w:val="20"/>
    </w:rPr>
  </w:style>
  <w:style w:type="character" w:styleId="ListLabel48">
    <w:name w:val="ListLabel 48"/>
    <w:qFormat/>
    <w:rPr>
      <w:b/>
    </w:rPr>
  </w:style>
  <w:style w:type="character" w:styleId="ListLabel49">
    <w:name w:val="ListLabel 49"/>
    <w:qFormat/>
    <w:rPr>
      <w:rFonts w:cs="Arial"/>
      <w:b w:val="false"/>
      <w:i w:val="false"/>
      <w:strike w:val="false"/>
      <w:dstrike w:val="false"/>
      <w:color w:val="00000A"/>
      <w:sz w:val="20"/>
      <w:szCs w:val="20"/>
      <w:u w:val="none"/>
    </w:rPr>
  </w:style>
  <w:style w:type="character" w:styleId="ListLabel50">
    <w:name w:val="ListLabel 50"/>
    <w:qFormat/>
    <w:rPr>
      <w:rFonts w:cs="Arial"/>
      <w:b w:val="false"/>
      <w:i w:val="false"/>
      <w:strike w:val="false"/>
      <w:dstrike w:val="false"/>
      <w:color w:val="00000A"/>
      <w:sz w:val="20"/>
      <w:szCs w:val="20"/>
    </w:rPr>
  </w:style>
  <w:style w:type="character" w:styleId="ListLabel51">
    <w:name w:val="ListLabel 51"/>
    <w:qFormat/>
    <w:rPr>
      <w:b/>
    </w:rPr>
  </w:style>
  <w:style w:type="character" w:styleId="ListLabel52">
    <w:name w:val="ListLabel 52"/>
    <w:qFormat/>
    <w:rPr>
      <w:rFonts w:cs="Arial"/>
      <w:b w:val="false"/>
      <w:i w:val="false"/>
      <w:strike w:val="false"/>
      <w:dstrike w:val="false"/>
      <w:color w:val="00000A"/>
      <w:sz w:val="20"/>
      <w:szCs w:val="20"/>
      <w:u w:val="none"/>
    </w:rPr>
  </w:style>
  <w:style w:type="character" w:styleId="ListLabel53">
    <w:name w:val="ListLabel 53"/>
    <w:qFormat/>
    <w:rPr>
      <w:rFonts w:cs="Arial"/>
      <w:b w:val="false"/>
      <w:i w:val="false"/>
      <w:strike w:val="false"/>
      <w:dstrike w:val="false"/>
      <w:color w:val="00000A"/>
      <w:sz w:val="20"/>
      <w:szCs w:val="20"/>
    </w:rPr>
  </w:style>
  <w:style w:type="character" w:styleId="ListLabel54">
    <w:name w:val="ListLabel 54"/>
    <w:qFormat/>
    <w:rPr>
      <w:b/>
    </w:rPr>
  </w:style>
  <w:style w:type="character" w:styleId="ListLabel55">
    <w:name w:val="ListLabel 55"/>
    <w:qFormat/>
    <w:rPr>
      <w:rFonts w:cs="Arial"/>
      <w:b w:val="false"/>
      <w:i w:val="false"/>
      <w:strike w:val="false"/>
      <w:dstrike w:val="false"/>
      <w:color w:val="00000A"/>
      <w:sz w:val="20"/>
      <w:szCs w:val="20"/>
      <w:u w:val="none"/>
    </w:rPr>
  </w:style>
  <w:style w:type="character" w:styleId="ListLabel56">
    <w:name w:val="ListLabel 56"/>
    <w:qFormat/>
    <w:rPr>
      <w:rFonts w:cs="Arial"/>
      <w:b w:val="false"/>
      <w:i w:val="false"/>
      <w:strike w:val="false"/>
      <w:dstrike w:val="false"/>
      <w:color w:val="00000A"/>
      <w:sz w:val="20"/>
      <w:szCs w:val="20"/>
    </w:rPr>
  </w:style>
  <w:style w:type="character" w:styleId="ListLabel57">
    <w:name w:val="ListLabel 57"/>
    <w:qFormat/>
    <w:rPr>
      <w:b/>
    </w:rPr>
  </w:style>
  <w:style w:type="character" w:styleId="ListLabel58">
    <w:name w:val="ListLabel 58"/>
    <w:qFormat/>
    <w:rPr>
      <w:rFonts w:cs="Arial"/>
      <w:b w:val="false"/>
      <w:i w:val="false"/>
      <w:strike w:val="false"/>
      <w:dstrike w:val="false"/>
      <w:color w:val="00000A"/>
      <w:sz w:val="20"/>
      <w:szCs w:val="20"/>
      <w:u w:val="none"/>
    </w:rPr>
  </w:style>
  <w:style w:type="character" w:styleId="ListLabel59">
    <w:name w:val="ListLabel 59"/>
    <w:qFormat/>
    <w:rPr>
      <w:rFonts w:cs="Arial"/>
      <w:b w:val="false"/>
      <w:i w:val="false"/>
      <w:strike w:val="false"/>
      <w:dstrike w:val="false"/>
      <w:color w:val="00000A"/>
      <w:sz w:val="20"/>
      <w:szCs w:val="20"/>
    </w:rPr>
  </w:style>
  <w:style w:type="character" w:styleId="ListLabel60">
    <w:name w:val="ListLabel 60"/>
    <w:qFormat/>
    <w:rPr>
      <w:b w:val="false"/>
      <w:color w:val="00000A"/>
    </w:rPr>
  </w:style>
  <w:style w:type="character" w:styleId="ListLabel61">
    <w:name w:val="ListLabel 61"/>
    <w:qFormat/>
    <w:rPr>
      <w:b w:val="false"/>
    </w:rPr>
  </w:style>
  <w:style w:type="character" w:styleId="ListLabel62">
    <w:name w:val="ListLabel 62"/>
    <w:qFormat/>
    <w:rPr>
      <w:b/>
    </w:rPr>
  </w:style>
  <w:style w:type="character" w:styleId="ListLabel63">
    <w:name w:val="ListLabel 63"/>
    <w:qFormat/>
    <w:rPr>
      <w:rFonts w:ascii="Arial" w:hAnsi="Arial" w:cs="Arial"/>
      <w:b w:val="false"/>
      <w:i w:val="false"/>
      <w:strike w:val="false"/>
      <w:dstrike w:val="false"/>
      <w:color w:val="00000A"/>
      <w:sz w:val="20"/>
      <w:szCs w:val="20"/>
      <w:u w:val="none"/>
    </w:rPr>
  </w:style>
  <w:style w:type="character" w:styleId="ListLabel64">
    <w:name w:val="ListLabel 64"/>
    <w:qFormat/>
    <w:rPr>
      <w:rFonts w:cs="Arial"/>
      <w:b w:val="false"/>
      <w:i w:val="false"/>
      <w:strike w:val="false"/>
      <w:dstrike w:val="false"/>
      <w:color w:val="00000A"/>
      <w:sz w:val="20"/>
      <w:szCs w:val="20"/>
    </w:rPr>
  </w:style>
  <w:style w:type="character" w:styleId="ListLabel65">
    <w:name w:val="ListLabel 65"/>
    <w:qFormat/>
    <w:rPr>
      <w:color w:val="000000"/>
    </w:rPr>
  </w:style>
  <w:style w:type="character" w:styleId="ListLabel66">
    <w:name w:val="ListLabel 66"/>
    <w:qFormat/>
    <w:rPr>
      <w:color w:val="000000"/>
    </w:rPr>
  </w:style>
  <w:style w:type="character" w:styleId="ListLabel67">
    <w:name w:val="ListLabel 67"/>
    <w:qFormat/>
    <w:rPr>
      <w:color w:val="000000"/>
    </w:rPr>
  </w:style>
  <w:style w:type="character" w:styleId="ListLabel68">
    <w:name w:val="ListLabel 68"/>
    <w:qFormat/>
    <w:rPr>
      <w:color w:val="000000"/>
    </w:rPr>
  </w:style>
  <w:style w:type="character" w:styleId="ListLabel69">
    <w:name w:val="ListLabel 69"/>
    <w:qFormat/>
    <w:rPr>
      <w:color w:val="000000"/>
    </w:rPr>
  </w:style>
  <w:style w:type="character" w:styleId="ListLabel70">
    <w:name w:val="ListLabel 70"/>
    <w:qFormat/>
    <w:rPr>
      <w:color w:val="000000"/>
    </w:rPr>
  </w:style>
  <w:style w:type="character" w:styleId="ListLabel71">
    <w:name w:val="ListLabel 71"/>
    <w:qFormat/>
    <w:rPr>
      <w:color w:val="000000"/>
    </w:rPr>
  </w:style>
  <w:style w:type="character" w:styleId="ListLabel72">
    <w:name w:val="ListLabel 72"/>
    <w:qFormat/>
    <w:rPr>
      <w:color w:val="000000"/>
    </w:rPr>
  </w:style>
  <w:style w:type="character" w:styleId="ListLabel73">
    <w:name w:val="ListLabel 73"/>
    <w:qFormat/>
    <w:rPr>
      <w:color w:val="000000"/>
    </w:rPr>
  </w:style>
  <w:style w:type="character" w:styleId="ListLabel74">
    <w:name w:val="ListLabel 74"/>
    <w:qFormat/>
    <w:rPr>
      <w:b w:val="false"/>
    </w:rPr>
  </w:style>
  <w:style w:type="character" w:styleId="ListLabel75">
    <w:name w:val="ListLabel 75"/>
    <w:qFormat/>
    <w:rPr>
      <w:b w:val="false"/>
      <w:color w:val="00000A"/>
    </w:rPr>
  </w:style>
  <w:style w:type="character" w:styleId="ListLabel76">
    <w:name w:val="ListLabel 76"/>
    <w:qFormat/>
    <w:rPr>
      <w:b/>
    </w:rPr>
  </w:style>
  <w:style w:type="character" w:styleId="ListLabel77">
    <w:name w:val="ListLabel 77"/>
    <w:qFormat/>
    <w:rPr>
      <w:rFonts w:ascii="Arial" w:hAnsi="Arial" w:cs="Arial"/>
      <w:b w:val="false"/>
      <w:i w:val="false"/>
      <w:strike w:val="false"/>
      <w:dstrike w:val="false"/>
      <w:color w:val="00000A"/>
      <w:sz w:val="20"/>
      <w:szCs w:val="20"/>
      <w:u w:val="none"/>
    </w:rPr>
  </w:style>
  <w:style w:type="character" w:styleId="ListLabel78">
    <w:name w:val="ListLabel 78"/>
    <w:qFormat/>
    <w:rPr>
      <w:rFonts w:ascii="Arial" w:hAnsi="Arial" w:cs="Arial"/>
      <w:b w:val="false"/>
      <w:i w:val="false"/>
      <w:strike w:val="false"/>
      <w:dstrike w:val="false"/>
      <w:color w:val="00000A"/>
      <w:sz w:val="20"/>
      <w:szCs w:val="20"/>
    </w:rPr>
  </w:style>
  <w:style w:type="character" w:styleId="ListLabel79">
    <w:name w:val="ListLabel 79"/>
    <w:qFormat/>
    <w:rPr>
      <w:b/>
    </w:rPr>
  </w:style>
  <w:style w:type="character" w:styleId="ListLabel80">
    <w:name w:val="ListLabel 80"/>
    <w:qFormat/>
    <w:rPr>
      <w:rFonts w:cs="Arial"/>
      <w:b w:val="false"/>
      <w:i w:val="false"/>
      <w:strike w:val="false"/>
      <w:dstrike w:val="false"/>
      <w:color w:val="00000A"/>
      <w:sz w:val="20"/>
      <w:szCs w:val="20"/>
      <w:u w:val="none"/>
    </w:rPr>
  </w:style>
  <w:style w:type="character" w:styleId="ListLabel81">
    <w:name w:val="ListLabel 81"/>
    <w:qFormat/>
    <w:rPr>
      <w:rFonts w:ascii="Arial" w:hAnsi="Arial" w:cs="Arial"/>
      <w:b/>
      <w:i w:val="false"/>
      <w:strike w:val="false"/>
      <w:dstrike w:val="false"/>
      <w:color w:val="00000A"/>
      <w:sz w:val="20"/>
      <w:szCs w:val="20"/>
    </w:rPr>
  </w:style>
  <w:style w:type="character" w:styleId="ListLabel82">
    <w:name w:val="ListLabel 82"/>
    <w:qFormat/>
    <w:rPr>
      <w:b/>
    </w:rPr>
  </w:style>
  <w:style w:type="character" w:styleId="ListLabel83">
    <w:name w:val="ListLabel 83"/>
    <w:qFormat/>
    <w:rPr>
      <w:rFonts w:ascii="Arial" w:hAnsi="Arial" w:cs="Arial"/>
      <w:b/>
      <w:i w:val="false"/>
      <w:strike w:val="false"/>
      <w:dstrike w:val="false"/>
      <w:color w:val="00000A"/>
      <w:sz w:val="20"/>
      <w:szCs w:val="20"/>
      <w:u w:val="none"/>
    </w:rPr>
  </w:style>
  <w:style w:type="character" w:styleId="ListLabel84">
    <w:name w:val="ListLabel 84"/>
    <w:qFormat/>
    <w:rPr>
      <w:rFonts w:ascii="Arial" w:hAnsi="Arial" w:cs="Arial"/>
      <w:b/>
      <w:i w:val="false"/>
      <w:strike w:val="false"/>
      <w:dstrike w:val="false"/>
      <w:color w:val="00000A"/>
      <w:sz w:val="20"/>
      <w:szCs w:val="20"/>
    </w:rPr>
  </w:style>
  <w:style w:type="character" w:styleId="ListLabel85">
    <w:name w:val="ListLabel 85"/>
    <w:qFormat/>
    <w:rPr>
      <w:b/>
    </w:rPr>
  </w:style>
  <w:style w:type="character" w:styleId="ListLabel86">
    <w:name w:val="ListLabel 86"/>
    <w:qFormat/>
    <w:rPr>
      <w:rFonts w:ascii="Arial" w:hAnsi="Arial" w:cs="Arial"/>
      <w:b/>
      <w:i w:val="false"/>
      <w:strike w:val="false"/>
      <w:dstrike w:val="false"/>
      <w:color w:val="00000A"/>
      <w:sz w:val="20"/>
      <w:szCs w:val="20"/>
      <w:u w:val="none"/>
    </w:rPr>
  </w:style>
  <w:style w:type="character" w:styleId="ListLabel87">
    <w:name w:val="ListLabel 87"/>
    <w:qFormat/>
    <w:rPr>
      <w:rFonts w:cs="Arial"/>
      <w:b w:val="false"/>
      <w:i w:val="false"/>
      <w:strike w:val="false"/>
      <w:dstrike w:val="false"/>
      <w:color w:val="00000A"/>
      <w:sz w:val="20"/>
      <w:szCs w:val="20"/>
    </w:rPr>
  </w:style>
  <w:style w:type="character" w:styleId="ListLabel88">
    <w:name w:val="ListLabel 88"/>
    <w:qFormat/>
    <w:rPr>
      <w:b/>
    </w:rPr>
  </w:style>
  <w:style w:type="character" w:styleId="ListLabel89">
    <w:name w:val="ListLabel 89"/>
    <w:qFormat/>
    <w:rPr>
      <w:rFonts w:ascii="Arial" w:hAnsi="Arial" w:cs="Arial"/>
      <w:b w:val="false"/>
      <w:i w:val="false"/>
      <w:strike w:val="false"/>
      <w:dstrike w:val="false"/>
      <w:color w:val="00000A"/>
      <w:sz w:val="20"/>
      <w:szCs w:val="20"/>
      <w:u w:val="none"/>
    </w:rPr>
  </w:style>
  <w:style w:type="character" w:styleId="ListLabel90">
    <w:name w:val="ListLabel 90"/>
    <w:qFormat/>
    <w:rPr>
      <w:rFonts w:cs="Arial"/>
      <w:b w:val="false"/>
      <w:i w:val="false"/>
      <w:strike w:val="false"/>
      <w:dstrike w:val="false"/>
      <w:color w:val="00000A"/>
      <w:sz w:val="20"/>
      <w:szCs w:val="20"/>
    </w:rPr>
  </w:style>
  <w:style w:type="character" w:styleId="ListLabel91">
    <w:name w:val="ListLabel 91"/>
    <w:qFormat/>
    <w:rPr>
      <w:rFonts w:ascii="Arial" w:hAnsi="Arial"/>
      <w:b/>
    </w:rPr>
  </w:style>
  <w:style w:type="character" w:styleId="ListLabel92">
    <w:name w:val="ListLabel 92"/>
    <w:qFormat/>
    <w:rPr>
      <w:rFonts w:ascii="Arial" w:hAnsi="Arial" w:cs="Arial"/>
      <w:b w:val="false"/>
      <w:i w:val="false"/>
      <w:strike w:val="false"/>
      <w:dstrike w:val="false"/>
      <w:color w:val="00000A"/>
      <w:sz w:val="20"/>
      <w:szCs w:val="20"/>
      <w:u w:val="none"/>
    </w:rPr>
  </w:style>
  <w:style w:type="character" w:styleId="ListLabel93">
    <w:name w:val="ListLabel 93"/>
    <w:qFormat/>
    <w:rPr>
      <w:rFonts w:ascii="Arial" w:hAnsi="Arial" w:cs="Arial"/>
      <w:b w:val="false"/>
      <w:i w:val="false"/>
      <w:strike w:val="false"/>
      <w:dstrike w:val="false"/>
      <w:color w:val="00000A"/>
      <w:sz w:val="20"/>
      <w:szCs w:val="20"/>
    </w:rPr>
  </w:style>
  <w:style w:type="character" w:styleId="ListLabel94">
    <w:name w:val="ListLabel 94"/>
    <w:qFormat/>
    <w:rPr>
      <w:b/>
    </w:rPr>
  </w:style>
  <w:style w:type="character" w:styleId="ListLabel95">
    <w:name w:val="ListLabel 95"/>
    <w:qFormat/>
    <w:rPr>
      <w:rFonts w:ascii="Arial" w:hAnsi="Arial" w:cs="Arial"/>
      <w:b w:val="false"/>
      <w:i w:val="false"/>
      <w:strike w:val="false"/>
      <w:dstrike w:val="false"/>
      <w:color w:val="00000A"/>
      <w:sz w:val="20"/>
      <w:szCs w:val="20"/>
      <w:u w:val="none"/>
    </w:rPr>
  </w:style>
  <w:style w:type="character" w:styleId="ListLabel96">
    <w:name w:val="ListLabel 96"/>
    <w:qFormat/>
    <w:rPr>
      <w:rFonts w:ascii="Arial" w:hAnsi="Arial" w:cs="Arial"/>
      <w:b w:val="false"/>
      <w:i w:val="false"/>
      <w:strike w:val="false"/>
      <w:dstrike w:val="false"/>
      <w:color w:val="00000A"/>
      <w:sz w:val="20"/>
      <w:szCs w:val="20"/>
    </w:rPr>
  </w:style>
  <w:style w:type="character" w:styleId="ListLabel97">
    <w:name w:val="ListLabel 97"/>
    <w:qFormat/>
    <w:rPr>
      <w:b/>
    </w:rPr>
  </w:style>
  <w:style w:type="character" w:styleId="ListLabel98">
    <w:name w:val="ListLabel 98"/>
    <w:qFormat/>
    <w:rPr>
      <w:rFonts w:ascii="Arial" w:hAnsi="Arial" w:cs="Arial"/>
      <w:b w:val="false"/>
      <w:i w:val="false"/>
      <w:strike w:val="false"/>
      <w:dstrike w:val="false"/>
      <w:color w:val="00000A"/>
      <w:sz w:val="20"/>
      <w:szCs w:val="20"/>
      <w:u w:val="none"/>
    </w:rPr>
  </w:style>
  <w:style w:type="character" w:styleId="ListLabel99">
    <w:name w:val="ListLabel 99"/>
    <w:qFormat/>
    <w:rPr>
      <w:rFonts w:ascii="Arial" w:hAnsi="Arial" w:cs="Arial"/>
      <w:b w:val="false"/>
      <w:i w:val="false"/>
      <w:strike w:val="false"/>
      <w:dstrike w:val="false"/>
      <w:color w:val="00000A"/>
      <w:sz w:val="20"/>
      <w:szCs w:val="20"/>
    </w:rPr>
  </w:style>
  <w:style w:type="character" w:styleId="ListLabel100">
    <w:name w:val="ListLabel 100"/>
    <w:qFormat/>
    <w:rPr>
      <w:b/>
    </w:rPr>
  </w:style>
  <w:style w:type="character" w:styleId="ListLabel101">
    <w:name w:val="ListLabel 101"/>
    <w:qFormat/>
    <w:rPr>
      <w:rFonts w:ascii="Arial" w:hAnsi="Arial" w:cs="Arial"/>
      <w:b w:val="false"/>
      <w:i w:val="false"/>
      <w:strike w:val="false"/>
      <w:dstrike w:val="false"/>
      <w:color w:val="00000A"/>
      <w:sz w:val="20"/>
      <w:szCs w:val="20"/>
      <w:u w:val="none"/>
    </w:rPr>
  </w:style>
  <w:style w:type="character" w:styleId="ListLabel102">
    <w:name w:val="ListLabel 102"/>
    <w:qFormat/>
    <w:rPr>
      <w:rFonts w:ascii="Arial" w:hAnsi="Arial" w:cs="Arial"/>
      <w:b w:val="false"/>
      <w:i w:val="false"/>
      <w:strike w:val="false"/>
      <w:dstrike w:val="false"/>
      <w:color w:val="00000A"/>
      <w:sz w:val="20"/>
      <w:szCs w:val="20"/>
    </w:rPr>
  </w:style>
  <w:style w:type="character" w:styleId="ListLabel103">
    <w:name w:val="ListLabel 103"/>
    <w:qFormat/>
    <w:rPr>
      <w:rFonts w:ascii="Arial" w:hAnsi="Arial"/>
      <w:b/>
    </w:rPr>
  </w:style>
  <w:style w:type="character" w:styleId="ListLabel104">
    <w:name w:val="ListLabel 104"/>
    <w:qFormat/>
    <w:rPr>
      <w:rFonts w:ascii="Arial" w:hAnsi="Arial" w:cs="Arial"/>
      <w:b w:val="false"/>
      <w:i w:val="false"/>
      <w:strike w:val="false"/>
      <w:dstrike w:val="false"/>
      <w:color w:val="00000A"/>
      <w:sz w:val="20"/>
      <w:szCs w:val="20"/>
      <w:u w:val="none"/>
    </w:rPr>
  </w:style>
  <w:style w:type="character" w:styleId="ListLabel105">
    <w:name w:val="ListLabel 105"/>
    <w:qFormat/>
    <w:rPr>
      <w:rFonts w:ascii="Arial" w:hAnsi="Arial" w:cs="Arial"/>
      <w:b w:val="false"/>
      <w:i w:val="false"/>
      <w:strike w:val="false"/>
      <w:dstrike w:val="false"/>
      <w:color w:val="00000A"/>
      <w:sz w:val="20"/>
      <w:szCs w:val="20"/>
    </w:rPr>
  </w:style>
  <w:style w:type="character" w:styleId="ListLabel106">
    <w:name w:val="ListLabel 106"/>
    <w:qFormat/>
    <w:rPr>
      <w:b/>
    </w:rPr>
  </w:style>
  <w:style w:type="character" w:styleId="ListLabel107">
    <w:name w:val="ListLabel 107"/>
    <w:qFormat/>
    <w:rPr>
      <w:rFonts w:ascii="Arial" w:hAnsi="Arial" w:cs="Arial"/>
      <w:b w:val="false"/>
      <w:i w:val="false"/>
      <w:strike w:val="false"/>
      <w:dstrike w:val="false"/>
      <w:color w:val="00000A"/>
      <w:sz w:val="20"/>
      <w:szCs w:val="20"/>
      <w:u w:val="none"/>
    </w:rPr>
  </w:style>
  <w:style w:type="character" w:styleId="ListLabel108">
    <w:name w:val="ListLabel 108"/>
    <w:qFormat/>
    <w:rPr>
      <w:rFonts w:ascii="Arial" w:hAnsi="Arial" w:cs="Arial"/>
      <w:b w:val="false"/>
      <w:i w:val="false"/>
      <w:strike w:val="false"/>
      <w:dstrike w:val="false"/>
      <w:color w:val="00000A"/>
      <w:sz w:val="20"/>
      <w:szCs w:val="20"/>
    </w:rPr>
  </w:style>
  <w:style w:type="character" w:styleId="ListLabel109">
    <w:name w:val="ListLabel 109"/>
    <w:qFormat/>
    <w:rPr>
      <w:b w:val="false"/>
    </w:rPr>
  </w:style>
  <w:style w:type="character" w:styleId="ListLabel110">
    <w:name w:val="ListLabel 110"/>
    <w:qFormat/>
    <w:rPr>
      <w:b/>
    </w:rPr>
  </w:style>
  <w:style w:type="character" w:styleId="ListLabel111">
    <w:name w:val="ListLabel 111"/>
    <w:qFormat/>
    <w:rPr>
      <w:rFonts w:ascii="Arial" w:hAnsi="Arial" w:cs="Arial"/>
      <w:b/>
      <w:i w:val="false"/>
      <w:strike w:val="false"/>
      <w:dstrike w:val="false"/>
      <w:color w:val="00000A"/>
      <w:sz w:val="20"/>
      <w:szCs w:val="20"/>
      <w:u w:val="none"/>
    </w:rPr>
  </w:style>
  <w:style w:type="character" w:styleId="ListLabel112">
    <w:name w:val="ListLabel 112"/>
    <w:qFormat/>
    <w:rPr>
      <w:rFonts w:cs="Arial"/>
      <w:b w:val="false"/>
      <w:i w:val="false"/>
      <w:strike w:val="false"/>
      <w:dstrike w:val="false"/>
      <w:color w:val="00000A"/>
      <w:sz w:val="20"/>
      <w:szCs w:val="20"/>
    </w:rPr>
  </w:style>
  <w:style w:type="character" w:styleId="ListLabel113">
    <w:name w:val="ListLabel 113"/>
    <w:qFormat/>
    <w:rPr>
      <w:rFonts w:ascii="Arial" w:hAnsi="Arial"/>
      <w:b/>
      <w:strike w:val="false"/>
      <w:dstrike w:val="false"/>
      <w:sz w:val="20"/>
    </w:rPr>
  </w:style>
  <w:style w:type="character" w:styleId="ListLabel114">
    <w:name w:val="ListLabel 114"/>
    <w:qFormat/>
    <w:rPr>
      <w:b/>
    </w:rPr>
  </w:style>
  <w:style w:type="character" w:styleId="ListLabel115">
    <w:name w:val="ListLabel 115"/>
    <w:qFormat/>
    <w:rPr>
      <w:rFonts w:ascii="Arial" w:hAnsi="Arial" w:cs="Arial"/>
      <w:b w:val="false"/>
      <w:i w:val="false"/>
      <w:strike w:val="false"/>
      <w:dstrike w:val="false"/>
      <w:color w:val="00000A"/>
      <w:sz w:val="20"/>
      <w:szCs w:val="20"/>
      <w:u w:val="none"/>
    </w:rPr>
  </w:style>
  <w:style w:type="character" w:styleId="ListLabel116">
    <w:name w:val="ListLabel 116"/>
    <w:qFormat/>
    <w:rPr>
      <w:rFonts w:cs="Arial"/>
      <w:b w:val="false"/>
      <w:i w:val="false"/>
      <w:strike w:val="false"/>
      <w:dstrike w:val="false"/>
      <w:color w:val="00000A"/>
      <w:sz w:val="20"/>
      <w:szCs w:val="20"/>
    </w:rPr>
  </w:style>
  <w:style w:type="character" w:styleId="ListLabel117">
    <w:name w:val="ListLabel 117"/>
    <w:qFormat/>
    <w:rPr>
      <w:b/>
    </w:rPr>
  </w:style>
  <w:style w:type="character" w:styleId="ListLabel118">
    <w:name w:val="ListLabel 118"/>
    <w:qFormat/>
    <w:rPr>
      <w:rFonts w:ascii="Arial" w:hAnsi="Arial" w:cs="Arial"/>
      <w:b w:val="false"/>
      <w:i w:val="false"/>
      <w:strike w:val="false"/>
      <w:dstrike w:val="false"/>
      <w:color w:val="00000A"/>
      <w:sz w:val="20"/>
      <w:szCs w:val="20"/>
      <w:u w:val="none"/>
    </w:rPr>
  </w:style>
  <w:style w:type="character" w:styleId="ListLabel119">
    <w:name w:val="ListLabel 119"/>
    <w:qFormat/>
    <w:rPr>
      <w:rFonts w:ascii="Arial" w:hAnsi="Arial" w:cs="Arial"/>
      <w:b w:val="false"/>
      <w:i w:val="false"/>
      <w:strike w:val="false"/>
      <w:dstrike w:val="false"/>
      <w:color w:val="00000A"/>
      <w:sz w:val="20"/>
      <w:szCs w:val="20"/>
    </w:rPr>
  </w:style>
  <w:style w:type="character" w:styleId="ListLabel120">
    <w:name w:val="ListLabel 120"/>
    <w:qFormat/>
    <w:rPr>
      <w:b/>
    </w:rPr>
  </w:style>
  <w:style w:type="character" w:styleId="ListLabel121">
    <w:name w:val="ListLabel 121"/>
    <w:qFormat/>
    <w:rPr>
      <w:rFonts w:cs="Arial"/>
      <w:b w:val="false"/>
      <w:i w:val="false"/>
      <w:strike w:val="false"/>
      <w:dstrike w:val="false"/>
      <w:color w:val="00000A"/>
      <w:sz w:val="20"/>
      <w:szCs w:val="20"/>
      <w:u w:val="none"/>
    </w:rPr>
  </w:style>
  <w:style w:type="character" w:styleId="ListLabel122">
    <w:name w:val="ListLabel 122"/>
    <w:qFormat/>
    <w:rPr>
      <w:rFonts w:ascii="Arial" w:hAnsi="Arial" w:cs="Arial"/>
      <w:b/>
      <w:i w:val="false"/>
      <w:strike w:val="false"/>
      <w:dstrike w:val="false"/>
      <w:color w:val="00000A"/>
      <w:sz w:val="20"/>
      <w:szCs w:val="20"/>
    </w:rPr>
  </w:style>
  <w:style w:type="character" w:styleId="ListLabel123">
    <w:name w:val="ListLabel 123"/>
    <w:qFormat/>
    <w:rPr>
      <w:b/>
    </w:rPr>
  </w:style>
  <w:style w:type="character" w:styleId="ListLabel124">
    <w:name w:val="ListLabel 124"/>
    <w:qFormat/>
    <w:rPr>
      <w:rFonts w:ascii="Arial" w:hAnsi="Arial" w:cs="Arial"/>
      <w:b/>
      <w:i w:val="false"/>
      <w:strike w:val="false"/>
      <w:dstrike w:val="false"/>
      <w:color w:val="00000A"/>
      <w:sz w:val="20"/>
      <w:szCs w:val="20"/>
      <w:u w:val="none"/>
    </w:rPr>
  </w:style>
  <w:style w:type="character" w:styleId="ListLabel125">
    <w:name w:val="ListLabel 125"/>
    <w:qFormat/>
    <w:rPr>
      <w:rFonts w:ascii="Arial" w:hAnsi="Arial" w:cs="Arial"/>
      <w:b/>
      <w:i w:val="false"/>
      <w:strike w:val="false"/>
      <w:dstrike w:val="false"/>
      <w:color w:val="00000A"/>
      <w:sz w:val="20"/>
      <w:szCs w:val="20"/>
    </w:rPr>
  </w:style>
  <w:style w:type="character" w:styleId="ListLabel126">
    <w:name w:val="ListLabel 126"/>
    <w:qFormat/>
    <w:rPr>
      <w:b/>
    </w:rPr>
  </w:style>
  <w:style w:type="character" w:styleId="ListLabel127">
    <w:name w:val="ListLabel 127"/>
    <w:qFormat/>
    <w:rPr>
      <w:rFonts w:cs="Arial"/>
      <w:b/>
      <w:i w:val="false"/>
      <w:strike w:val="false"/>
      <w:dstrike w:val="false"/>
      <w:color w:val="00000A"/>
      <w:sz w:val="20"/>
      <w:szCs w:val="20"/>
      <w:u w:val="none"/>
    </w:rPr>
  </w:style>
  <w:style w:type="character" w:styleId="ListLabel128">
    <w:name w:val="ListLabel 128"/>
    <w:qFormat/>
    <w:rPr>
      <w:rFonts w:cs="Arial"/>
      <w:b w:val="false"/>
      <w:i w:val="false"/>
      <w:strike w:val="false"/>
      <w:dstrike w:val="false"/>
      <w:color w:val="00000A"/>
      <w:sz w:val="20"/>
      <w:szCs w:val="20"/>
    </w:rPr>
  </w:style>
  <w:style w:type="character" w:styleId="ListLabel129">
    <w:name w:val="ListLabel 129"/>
    <w:qFormat/>
    <w:rPr>
      <w:b/>
    </w:rPr>
  </w:style>
  <w:style w:type="character" w:styleId="ListLabel130">
    <w:name w:val="ListLabel 130"/>
    <w:qFormat/>
    <w:rPr>
      <w:rFonts w:ascii="Arial" w:hAnsi="Arial" w:cs="Arial"/>
      <w:b w:val="false"/>
      <w:i w:val="false"/>
      <w:strike w:val="false"/>
      <w:dstrike w:val="false"/>
      <w:color w:val="00000A"/>
      <w:sz w:val="20"/>
      <w:szCs w:val="20"/>
      <w:u w:val="none"/>
    </w:rPr>
  </w:style>
  <w:style w:type="character" w:styleId="ListLabel131">
    <w:name w:val="ListLabel 131"/>
    <w:qFormat/>
    <w:rPr>
      <w:rFonts w:cs="Arial"/>
      <w:b w:val="false"/>
      <w:i w:val="false"/>
      <w:strike w:val="false"/>
      <w:dstrike w:val="false"/>
      <w:color w:val="00000A"/>
      <w:sz w:val="20"/>
      <w:szCs w:val="20"/>
    </w:rPr>
  </w:style>
  <w:style w:type="character" w:styleId="ListLabel132">
    <w:name w:val="ListLabel 132"/>
    <w:qFormat/>
    <w:rPr>
      <w:b/>
    </w:rPr>
  </w:style>
  <w:style w:type="character" w:styleId="ListLabel133">
    <w:name w:val="ListLabel 133"/>
    <w:qFormat/>
    <w:rPr>
      <w:rFonts w:cs="Arial"/>
      <w:b w:val="false"/>
      <w:i w:val="false"/>
      <w:strike w:val="false"/>
      <w:dstrike w:val="false"/>
      <w:color w:val="00000A"/>
      <w:sz w:val="20"/>
      <w:szCs w:val="20"/>
      <w:u w:val="none"/>
    </w:rPr>
  </w:style>
  <w:style w:type="character" w:styleId="ListLabel134">
    <w:name w:val="ListLabel 134"/>
    <w:qFormat/>
    <w:rPr>
      <w:rFonts w:cs="Arial"/>
      <w:b w:val="false"/>
      <w:i w:val="false"/>
      <w:strike w:val="false"/>
      <w:dstrike w:val="false"/>
      <w:color w:val="00000A"/>
      <w:sz w:val="20"/>
      <w:szCs w:val="20"/>
    </w:rPr>
  </w:style>
  <w:style w:type="character" w:styleId="ListLabel135">
    <w:name w:val="ListLabel 135"/>
    <w:qFormat/>
    <w:rPr>
      <w:b/>
    </w:rPr>
  </w:style>
  <w:style w:type="character" w:styleId="ListLabel136">
    <w:name w:val="ListLabel 136"/>
    <w:qFormat/>
    <w:rPr>
      <w:rFonts w:cs="Arial"/>
      <w:b w:val="false"/>
      <w:i w:val="false"/>
      <w:strike w:val="false"/>
      <w:dstrike w:val="false"/>
      <w:color w:val="00000A"/>
      <w:sz w:val="20"/>
      <w:szCs w:val="20"/>
      <w:u w:val="none"/>
    </w:rPr>
  </w:style>
  <w:style w:type="character" w:styleId="ListLabel137">
    <w:name w:val="ListLabel 137"/>
    <w:qFormat/>
    <w:rPr>
      <w:rFonts w:cs="Arial"/>
      <w:b w:val="false"/>
      <w:i w:val="false"/>
      <w:strike w:val="false"/>
      <w:dstrike w:val="false"/>
      <w:color w:val="00000A"/>
      <w:sz w:val="20"/>
      <w:szCs w:val="20"/>
    </w:rPr>
  </w:style>
  <w:style w:type="character" w:styleId="ListLabel138">
    <w:name w:val="ListLabel 138"/>
    <w:qFormat/>
    <w:rPr>
      <w:b/>
    </w:rPr>
  </w:style>
  <w:style w:type="character" w:styleId="ListLabel139">
    <w:name w:val="ListLabel 139"/>
    <w:qFormat/>
    <w:rPr>
      <w:rFonts w:ascii="Arial" w:hAnsi="Arial" w:cs="Arial"/>
      <w:b w:val="false"/>
      <w:i w:val="false"/>
      <w:strike w:val="false"/>
      <w:dstrike w:val="false"/>
      <w:color w:val="00000A"/>
      <w:sz w:val="20"/>
      <w:szCs w:val="20"/>
      <w:u w:val="none"/>
    </w:rPr>
  </w:style>
  <w:style w:type="character" w:styleId="ListLabel140">
    <w:name w:val="ListLabel 140"/>
    <w:qFormat/>
    <w:rPr>
      <w:rFonts w:ascii="Arial" w:hAnsi="Arial" w:cs="Arial"/>
      <w:b w:val="false"/>
      <w:i w:val="false"/>
      <w:strike w:val="false"/>
      <w:dstrike w:val="false"/>
      <w:color w:val="00000A"/>
      <w:sz w:val="20"/>
      <w:szCs w:val="20"/>
    </w:rPr>
  </w:style>
  <w:style w:type="character" w:styleId="ListLabel141">
    <w:name w:val="ListLabel 141"/>
    <w:qFormat/>
    <w:rPr>
      <w:b/>
    </w:rPr>
  </w:style>
  <w:style w:type="character" w:styleId="ListLabel142">
    <w:name w:val="ListLabel 142"/>
    <w:qFormat/>
    <w:rPr>
      <w:rFonts w:cs="Arial"/>
      <w:b w:val="false"/>
      <w:i w:val="false"/>
      <w:strike w:val="false"/>
      <w:dstrike w:val="false"/>
      <w:color w:val="00000A"/>
      <w:sz w:val="20"/>
      <w:szCs w:val="20"/>
      <w:u w:val="none"/>
    </w:rPr>
  </w:style>
  <w:style w:type="character" w:styleId="ListLabel143">
    <w:name w:val="ListLabel 143"/>
    <w:qFormat/>
    <w:rPr>
      <w:rFonts w:cs="Arial"/>
      <w:b w:val="false"/>
      <w:i w:val="false"/>
      <w:strike w:val="false"/>
      <w:dstrike w:val="false"/>
      <w:color w:val="00000A"/>
      <w:sz w:val="20"/>
      <w:szCs w:val="20"/>
    </w:rPr>
  </w:style>
  <w:style w:type="character" w:styleId="ListLabel144">
    <w:name w:val="ListLabel 144"/>
    <w:qFormat/>
    <w:rPr>
      <w:rFonts w:ascii="Arial" w:hAnsi="Arial"/>
      <w:b/>
    </w:rPr>
  </w:style>
  <w:style w:type="character" w:styleId="ListLabel145">
    <w:name w:val="ListLabel 145"/>
    <w:qFormat/>
    <w:rPr>
      <w:rFonts w:cs="Arial"/>
      <w:b w:val="false"/>
      <w:i w:val="false"/>
      <w:strike w:val="false"/>
      <w:dstrike w:val="false"/>
      <w:color w:val="00000A"/>
      <w:sz w:val="20"/>
      <w:szCs w:val="20"/>
      <w:u w:val="none"/>
    </w:rPr>
  </w:style>
  <w:style w:type="character" w:styleId="ListLabel146">
    <w:name w:val="ListLabel 146"/>
    <w:qFormat/>
    <w:rPr>
      <w:rFonts w:cs="Arial"/>
      <w:b w:val="false"/>
      <w:i w:val="false"/>
      <w:strike w:val="false"/>
      <w:dstrike w:val="false"/>
      <w:color w:val="00000A"/>
      <w:sz w:val="20"/>
      <w:szCs w:val="20"/>
    </w:rPr>
  </w:style>
  <w:style w:type="character" w:styleId="ListLabel147">
    <w:name w:val="ListLabel 147"/>
    <w:qFormat/>
    <w:rPr>
      <w:b/>
    </w:rPr>
  </w:style>
  <w:style w:type="character" w:styleId="ListLabel148">
    <w:name w:val="ListLabel 148"/>
    <w:qFormat/>
    <w:rPr>
      <w:rFonts w:cs="Arial"/>
      <w:b w:val="false"/>
      <w:i w:val="false"/>
      <w:strike w:val="false"/>
      <w:dstrike w:val="false"/>
      <w:color w:val="00000A"/>
      <w:sz w:val="20"/>
      <w:szCs w:val="20"/>
      <w:u w:val="none"/>
    </w:rPr>
  </w:style>
  <w:style w:type="character" w:styleId="ListLabel149">
    <w:name w:val="ListLabel 149"/>
    <w:qFormat/>
    <w:rPr>
      <w:rFonts w:cs="Arial"/>
      <w:b w:val="false"/>
      <w:i w:val="false"/>
      <w:strike w:val="false"/>
      <w:dstrike w:val="false"/>
      <w:color w:val="00000A"/>
      <w:sz w:val="20"/>
      <w:szCs w:val="20"/>
    </w:rPr>
  </w:style>
  <w:style w:type="character" w:styleId="ListLabel150">
    <w:name w:val="ListLabel 150"/>
    <w:qFormat/>
    <w:rPr>
      <w:b w:val="false"/>
    </w:rPr>
  </w:style>
  <w:style w:type="character" w:styleId="ListLabel151">
    <w:name w:val="ListLabel 151"/>
    <w:qFormat/>
    <w:rPr>
      <w:b/>
    </w:rPr>
  </w:style>
  <w:style w:type="character" w:styleId="ListLabel152">
    <w:name w:val="ListLabel 152"/>
    <w:qFormat/>
    <w:rPr>
      <w:rFonts w:cs="Arial"/>
      <w:b/>
      <w:i w:val="false"/>
      <w:strike w:val="false"/>
      <w:dstrike w:val="false"/>
      <w:color w:val="00000A"/>
      <w:sz w:val="20"/>
      <w:szCs w:val="20"/>
      <w:u w:val="none"/>
    </w:rPr>
  </w:style>
  <w:style w:type="character" w:styleId="ListLabel153">
    <w:name w:val="ListLabel 153"/>
    <w:qFormat/>
    <w:rPr>
      <w:rFonts w:cs="Arial"/>
      <w:b w:val="false"/>
      <w:i w:val="false"/>
      <w:strike w:val="false"/>
      <w:dstrike w:val="false"/>
      <w:color w:val="00000A"/>
      <w:sz w:val="20"/>
      <w:szCs w:val="20"/>
    </w:rPr>
  </w:style>
  <w:style w:type="character" w:styleId="ListLabel154">
    <w:name w:val="ListLabel 154"/>
    <w:qFormat/>
    <w:rPr>
      <w:b/>
    </w:rPr>
  </w:style>
  <w:style w:type="character" w:styleId="ListLabel155">
    <w:name w:val="ListLabel 155"/>
    <w:qFormat/>
    <w:rPr>
      <w:rFonts w:cs="Arial"/>
      <w:b w:val="false"/>
      <w:i w:val="false"/>
      <w:strike w:val="false"/>
      <w:dstrike w:val="false"/>
      <w:color w:val="00000A"/>
      <w:sz w:val="20"/>
      <w:szCs w:val="20"/>
      <w:u w:val="none"/>
    </w:rPr>
  </w:style>
  <w:style w:type="character" w:styleId="ListLabel156">
    <w:name w:val="ListLabel 156"/>
    <w:qFormat/>
    <w:rPr>
      <w:rFonts w:cs="Arial"/>
      <w:b w:val="false"/>
      <w:i w:val="false"/>
      <w:strike w:val="false"/>
      <w:dstrike w:val="false"/>
      <w:color w:val="00000A"/>
      <w:sz w:val="20"/>
      <w:szCs w:val="20"/>
    </w:rPr>
  </w:style>
  <w:style w:type="character" w:styleId="ListLabel157">
    <w:name w:val="ListLabel 157"/>
    <w:qFormat/>
    <w:rPr>
      <w:b/>
    </w:rPr>
  </w:style>
  <w:style w:type="character" w:styleId="ListLabel158">
    <w:name w:val="ListLabel 158"/>
    <w:qFormat/>
    <w:rPr>
      <w:rFonts w:ascii="Arial" w:hAnsi="Arial" w:cs="Arial"/>
      <w:b w:val="false"/>
      <w:i w:val="false"/>
      <w:strike w:val="false"/>
      <w:dstrike w:val="false"/>
      <w:color w:val="00000A"/>
      <w:sz w:val="20"/>
      <w:szCs w:val="20"/>
      <w:u w:val="none"/>
    </w:rPr>
  </w:style>
  <w:style w:type="character" w:styleId="ListLabel159">
    <w:name w:val="ListLabel 159"/>
    <w:qFormat/>
    <w:rPr>
      <w:rFonts w:ascii="Arial" w:hAnsi="Arial" w:cs="Arial"/>
      <w:b w:val="false"/>
      <w:i w:val="false"/>
      <w:strike w:val="false"/>
      <w:dstrike w:val="false"/>
      <w:color w:val="00000A"/>
      <w:sz w:val="20"/>
      <w:szCs w:val="20"/>
    </w:rPr>
  </w:style>
  <w:style w:type="character" w:styleId="ListLabel160">
    <w:name w:val="ListLabel 160"/>
    <w:qFormat/>
    <w:rPr>
      <w:b/>
    </w:rPr>
  </w:style>
  <w:style w:type="character" w:styleId="ListLabel161">
    <w:name w:val="ListLabel 161"/>
    <w:qFormat/>
    <w:rPr>
      <w:rFonts w:cs="Arial"/>
      <w:b w:val="false"/>
      <w:i w:val="false"/>
      <w:strike w:val="false"/>
      <w:dstrike w:val="false"/>
      <w:color w:val="00000A"/>
      <w:sz w:val="20"/>
      <w:szCs w:val="20"/>
      <w:u w:val="none"/>
    </w:rPr>
  </w:style>
  <w:style w:type="character" w:styleId="ListLabel162">
    <w:name w:val="ListLabel 162"/>
    <w:qFormat/>
    <w:rPr>
      <w:rFonts w:cs="Arial"/>
      <w:b/>
      <w:i w:val="false"/>
      <w:strike w:val="false"/>
      <w:dstrike w:val="false"/>
      <w:color w:val="00000A"/>
      <w:sz w:val="20"/>
      <w:szCs w:val="20"/>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
    <w:name w:val="Header"/>
    <w:basedOn w:val="Normal"/>
    <w:link w:val="CabealhoChar"/>
    <w:rsid w:val="00ca24fb"/>
    <w:pPr>
      <w:tabs>
        <w:tab w:val="center" w:pos="4252" w:leader="none"/>
        <w:tab w:val="right" w:pos="8504" w:leader="none"/>
      </w:tabs>
    </w:pPr>
    <w:rPr/>
  </w:style>
  <w:style w:type="paragraph" w:styleId="Rodap">
    <w:name w:val="Footer"/>
    <w:basedOn w:val="Normal"/>
    <w:link w:val="RodapChar"/>
    <w:uiPriority w:val="99"/>
    <w:rsid w:val="00ca24fb"/>
    <w:pPr>
      <w:tabs>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sz w:val="52"/>
      <w:szCs w:val="52"/>
    </w:rPr>
  </w:style>
  <w:style w:type="paragraph" w:styleId="PADRO" w:customStyle="1">
    <w:name w:val="PADRÃO"/>
    <w:qFormat/>
    <w:rsid w:val="001e2495"/>
    <w:pPr>
      <w:keepNext/>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00000A"/>
      <w:sz w:val="24"/>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bidi w:val="0"/>
      <w:spacing w:lineRule="auto" w:line="276" w:before="120" w:after="120"/>
      <w:jc w:val="both"/>
    </w:pPr>
    <w:rPr>
      <w:rFonts w:ascii="Ecofont_Spranq_eco_Sans" w:hAnsi="Ecofont_Spranq_eco_Sans" w:eastAsia="Arial Unicode MS" w:cs="Times New Roman"/>
      <w:color w:val="00000A"/>
      <w:sz w:val="24"/>
      <w:szCs w:val="20"/>
      <w:lang w:val="pt-BR" w:eastAsia="pt-BR" w:bidi="ar-SA"/>
    </w:rPr>
  </w:style>
  <w:style w:type="paragraph" w:styleId="Nivel11" w:customStyle="1">
    <w:name w:val="Nivel 1"/>
    <w:basedOn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00000A"/>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s://certidoes-apf.apps.tcu.gov.br/" TargetMode="External"/><Relationship Id="rId4" Type="http://schemas.openxmlformats.org/officeDocument/2006/relationships/hyperlink" Target="mailto:compras@proginst.ufal.b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1E2FB-CB76-4082-8966-4CE85BA3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180</TotalTime>
  <Application>LibreOffice/5.3.1.2$Windows_X86_64 LibreOffice_project/e80a0e0fd1875e1696614d24c32df0f95f03deb2</Application>
  <Pages>22</Pages>
  <Words>8777</Words>
  <Characters>49245</Characters>
  <CharactersWithSpaces>57770</CharactersWithSpaces>
  <Paragraphs>328</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2019-10-14T16:26:00Z</dcterms:created>
  <dc:creator>Manoel Paz</dc:creator>
  <dc:description/>
  <dc:language>pt-BR</dc:language>
  <cp:lastModifiedBy/>
  <cp:lastPrinted>2019-10-10T16:52:00Z</cp:lastPrinted>
  <dcterms:modified xsi:type="dcterms:W3CDTF">2019-11-13T11:41:39Z</dcterms:modified>
  <cp:revision>9</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