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bCs/>
          <w:color w:val="000000"/>
          <w:szCs w:val="20"/>
        </w:rPr>
      </w:pPr>
      <w:r>
        <w:rPr>
          <w:rFonts w:cs="Arial"/>
          <w:b/>
          <w:bCs/>
          <w:color w:val="000000"/>
          <w:szCs w:val="20"/>
        </w:rPr>
        <w:t>TERMO DE REFERÊNCIA</w:t>
      </w:r>
    </w:p>
    <w:p>
      <w:pPr>
        <w:pStyle w:val="Normal"/>
        <w:jc w:val="center"/>
        <w:rPr>
          <w:rFonts w:cs="Arial"/>
          <w:b/>
          <w:b/>
          <w:bCs/>
          <w:color w:val="000000"/>
          <w:szCs w:val="20"/>
        </w:rPr>
      </w:pPr>
      <w:r>
        <w:rPr>
          <w:rFonts w:cs="Arial"/>
          <w:b/>
          <w:bCs/>
          <w:color w:val="000000"/>
          <w:szCs w:val="20"/>
        </w:rPr>
        <w:t xml:space="preserve">PREGÃO PRESENCIAL, ELETRÔNICO </w:t>
      </w:r>
    </w:p>
    <w:p>
      <w:pPr>
        <w:pStyle w:val="Normal"/>
        <w:jc w:val="center"/>
        <w:rPr>
          <w:rFonts w:cs="Arial"/>
          <w:b/>
          <w:b/>
          <w:bCs/>
          <w:iCs/>
          <w:color w:val="000000"/>
          <w:szCs w:val="20"/>
        </w:rPr>
      </w:pPr>
      <w:r>
        <w:rPr>
          <w:rFonts w:cs="Arial"/>
          <w:b/>
          <w:bCs/>
          <w:iCs/>
          <w:color w:val="000000"/>
          <w:szCs w:val="20"/>
        </w:rPr>
        <w:t>(COMPRAS)</w:t>
      </w:r>
    </w:p>
    <w:p>
      <w:pPr>
        <w:pStyle w:val="Normal"/>
        <w:spacing w:lineRule="auto" w:line="276" w:before="0" w:after="120"/>
        <w:ind w:left="0" w:right="0" w:hanging="0"/>
        <w:jc w:val="center"/>
        <w:rPr>
          <w:rFonts w:cs="Arial"/>
          <w:b/>
          <w:b/>
          <w:bCs/>
          <w:i/>
          <w:i/>
          <w:color w:val="FF0000"/>
          <w:szCs w:val="20"/>
        </w:rPr>
      </w:pPr>
      <w:r>
        <w:rPr>
          <w:rFonts w:cs="Arial"/>
          <w:b/>
          <w:bCs/>
          <w:i/>
          <w:color w:val="FF0000"/>
          <w:szCs w:val="20"/>
        </w:rPr>
      </w:r>
    </w:p>
    <w:p>
      <w:pPr>
        <w:pStyle w:val="Normal"/>
        <w:spacing w:lineRule="auto" w:line="276"/>
        <w:jc w:val="center"/>
        <w:rPr>
          <w:rFonts w:cs="Arial"/>
          <w:b/>
          <w:b/>
          <w:bCs/>
          <w:i w:val="false"/>
          <w:i w:val="false"/>
          <w:iCs w:val="false"/>
          <w:color w:val="000000"/>
          <w:szCs w:val="20"/>
        </w:rPr>
      </w:pPr>
      <w:r>
        <w:rPr>
          <w:rFonts w:cs="Arial"/>
          <w:b/>
          <w:bCs/>
          <w:i w:val="false"/>
          <w:iCs w:val="false"/>
          <w:color w:val="000000"/>
          <w:szCs w:val="20"/>
        </w:rPr>
        <w:t>UNIVERSIDADE FEDERAL DE ALAGOAS</w:t>
      </w:r>
    </w:p>
    <w:p>
      <w:pPr>
        <w:pStyle w:val="Normal"/>
        <w:spacing w:lineRule="auto" w:line="276"/>
        <w:jc w:val="center"/>
        <w:rPr>
          <w:rFonts w:cs="Arial"/>
          <w:b/>
          <w:b/>
          <w:bCs/>
          <w:color w:val="000000"/>
          <w:szCs w:val="20"/>
        </w:rPr>
      </w:pPr>
      <w:r>
        <w:rPr>
          <w:rFonts w:cs="Arial"/>
          <w:b/>
          <w:bCs/>
          <w:color w:val="000000"/>
          <w:szCs w:val="20"/>
        </w:rPr>
        <w:t>PREGÃO Nº 02/2020</w:t>
      </w:r>
    </w:p>
    <w:p>
      <w:pPr>
        <w:pStyle w:val="Normal"/>
        <w:spacing w:lineRule="auto" w:line="276"/>
        <w:jc w:val="center"/>
        <w:rPr>
          <w:rFonts w:cs="Arial"/>
          <w:b/>
          <w:b/>
          <w:bCs/>
          <w:color w:val="000000"/>
          <w:szCs w:val="20"/>
        </w:rPr>
      </w:pPr>
      <w:r>
        <w:rPr>
          <w:rFonts w:cs="Arial"/>
          <w:b/>
          <w:bCs/>
          <w:color w:val="000000"/>
          <w:szCs w:val="20"/>
        </w:rPr>
        <w:t>(Processo Administrativo n.° 23065.007910/2020-59)</w:t>
      </w:r>
    </w:p>
    <w:p>
      <w:pPr>
        <w:pStyle w:val="Normal"/>
        <w:spacing w:lineRule="auto" w:line="276" w:before="0" w:after="120"/>
        <w:ind w:left="0" w:right="0" w:hanging="0"/>
        <w:jc w:val="center"/>
        <w:rPr>
          <w:rFonts w:cs="Arial"/>
          <w:b/>
          <w:b/>
          <w:bCs/>
          <w:color w:val="000000"/>
          <w:szCs w:val="20"/>
        </w:rPr>
      </w:pPr>
      <w:r>
        <w:rPr>
          <w:rFonts w:cs="Arial"/>
          <w:b/>
          <w:bCs/>
          <w:color w:val="000000"/>
          <w:szCs w:val="20"/>
        </w:rPr>
      </w:r>
    </w:p>
    <w:p>
      <w:pPr>
        <w:pStyle w:val="Nivel1"/>
        <w:numPr>
          <w:ilvl w:val="0"/>
          <w:numId w:val="1"/>
        </w:numPr>
        <w:rPr/>
      </w:pPr>
      <w:r>
        <w:rPr/>
        <w:t>DO OBJETO</w:t>
      </w:r>
    </w:p>
    <w:p>
      <w:pPr>
        <w:pStyle w:val="Normal"/>
        <w:widowControl/>
        <w:suppressAutoHyphens w:val="true"/>
        <w:overflowPunct w:val="true"/>
        <w:bidi w:val="0"/>
        <w:spacing w:lineRule="auto" w:line="276" w:before="120" w:after="120"/>
        <w:ind w:left="510" w:right="0" w:hanging="0"/>
        <w:jc w:val="both"/>
        <w:rPr>
          <w:rFonts w:cs="Arial"/>
          <w:i w:val="false"/>
          <w:i w:val="false"/>
          <w:iCs w:val="false"/>
          <w:color w:val="000000"/>
          <w:szCs w:val="20"/>
          <w:shd w:fill="FFFFFF" w:val="clear"/>
        </w:rPr>
      </w:pPr>
      <w:r>
        <w:rPr>
          <w:rFonts w:cs="Arial"/>
          <w:i w:val="false"/>
          <w:iCs w:val="false"/>
          <w:color w:val="000000"/>
          <w:szCs w:val="20"/>
          <w:shd w:fill="FFFFFF" w:val="clear"/>
        </w:rPr>
        <w:t>1.1. Aquisição de ração e maravalha para o Biotério Central,</w:t>
      </w:r>
      <w:r>
        <w:rPr>
          <w:rFonts w:cs="Arial"/>
          <w:i/>
          <w:color w:val="FF0000"/>
          <w:szCs w:val="20"/>
          <w:shd w:fill="FFFFFF" w:val="clear"/>
        </w:rPr>
        <w:t xml:space="preserve"> </w:t>
      </w:r>
      <w:r>
        <w:rPr>
          <w:rFonts w:cs="Arial"/>
          <w:i w:val="false"/>
          <w:iCs w:val="false"/>
          <w:color w:val="000000"/>
          <w:szCs w:val="20"/>
          <w:shd w:fill="FFFFFF" w:val="clear"/>
        </w:rPr>
        <w:t>conforme condições, quantidades e exigências estabelecidas neste instrumento:</w:t>
      </w:r>
    </w:p>
    <w:p>
      <w:pPr>
        <w:pStyle w:val="Normal"/>
        <w:spacing w:lineRule="auto" w:line="276" w:before="120" w:after="120"/>
        <w:jc w:val="both"/>
        <w:rPr>
          <w:shd w:fill="FFFFFF" w:val="clear"/>
        </w:rPr>
      </w:pPr>
      <w:r>
        <w:rPr>
          <w:shd w:fill="FFFFFF" w:val="clear"/>
        </w:rPr>
      </w:r>
    </w:p>
    <w:tbl>
      <w:tblPr>
        <w:tblW w:w="9014" w:type="dxa"/>
        <w:jc w:val="left"/>
        <w:tblInd w:w="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Pr>
      <w:tblGrid>
        <w:gridCol w:w="566"/>
        <w:gridCol w:w="4474"/>
        <w:gridCol w:w="915"/>
        <w:gridCol w:w="1019"/>
        <w:gridCol w:w="673"/>
        <w:gridCol w:w="1366"/>
      </w:tblGrid>
      <w:tr>
        <w:trPr/>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jc w:val="center"/>
              <w:rPr>
                <w:rFonts w:cs="Arial"/>
                <w:b/>
                <w:b/>
                <w:bCs/>
                <w:color w:val="000000"/>
                <w:sz w:val="14"/>
                <w:szCs w:val="14"/>
                <w:shd w:fill="FFFFFF" w:val="clear"/>
              </w:rPr>
            </w:pPr>
            <w:r>
              <w:rPr>
                <w:rFonts w:cs="Arial"/>
                <w:b/>
                <w:bCs/>
                <w:color w:val="000000"/>
                <w:sz w:val="14"/>
                <w:szCs w:val="14"/>
                <w:shd w:fill="FFFFFF" w:val="clear"/>
              </w:rPr>
              <w:t>ITEM</w:t>
            </w:r>
          </w:p>
          <w:p>
            <w:pPr>
              <w:pStyle w:val="Normal"/>
              <w:widowControl w:val="false"/>
              <w:suppressAutoHyphens w:val="true"/>
              <w:jc w:val="center"/>
              <w:rPr>
                <w:rFonts w:cs="Arial"/>
                <w:b/>
                <w:b/>
                <w:color w:val="000000"/>
                <w:sz w:val="14"/>
                <w:szCs w:val="14"/>
                <w:shd w:fill="FFFFFF" w:val="clear"/>
              </w:rPr>
            </w:pPr>
            <w:r>
              <w:rPr>
                <w:rFonts w:cs="Arial"/>
                <w:b/>
                <w:color w:val="000000"/>
                <w:sz w:val="14"/>
                <w:szCs w:val="14"/>
                <w:shd w:fill="FFFFFF" w:val="clear"/>
              </w:rPr>
            </w:r>
          </w:p>
        </w:tc>
        <w:tc>
          <w:tcPr>
            <w:tcW w:w="4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jc w:val="center"/>
              <w:rPr>
                <w:rFonts w:cs="Arial"/>
                <w:b/>
                <w:b/>
                <w:bCs/>
                <w:color w:val="000000"/>
                <w:sz w:val="14"/>
                <w:szCs w:val="14"/>
                <w:shd w:fill="FFFFFF" w:val="clear"/>
              </w:rPr>
            </w:pPr>
            <w:r>
              <w:rPr>
                <w:rFonts w:cs="Arial"/>
                <w:b/>
                <w:bCs/>
                <w:color w:val="000000"/>
                <w:sz w:val="14"/>
                <w:szCs w:val="14"/>
                <w:shd w:fill="FFFFFF" w:val="clear"/>
              </w:rPr>
              <w:t>DESCRIÇÃO/</w:t>
            </w:r>
          </w:p>
          <w:p>
            <w:pPr>
              <w:pStyle w:val="Normal"/>
              <w:widowControl w:val="false"/>
              <w:suppressAutoHyphens w:val="true"/>
              <w:jc w:val="center"/>
              <w:rPr>
                <w:rFonts w:cs="Arial"/>
                <w:b/>
                <w:b/>
                <w:bCs/>
                <w:color w:val="000000"/>
                <w:sz w:val="14"/>
                <w:szCs w:val="14"/>
                <w:shd w:fill="FFFFFF" w:val="clear"/>
              </w:rPr>
            </w:pPr>
            <w:r>
              <w:rPr>
                <w:rFonts w:cs="Arial"/>
                <w:b/>
                <w:bCs/>
                <w:color w:val="000000"/>
                <w:sz w:val="14"/>
                <w:szCs w:val="14"/>
                <w:shd w:fill="FFFFFF" w:val="clear"/>
              </w:rPr>
              <w:t>ESPECIFICAÇÃO</w:t>
            </w:r>
          </w:p>
        </w:tc>
        <w:tc>
          <w:tcPr>
            <w:tcW w:w="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jc w:val="center"/>
              <w:rPr>
                <w:rFonts w:cs="Arial"/>
                <w:b/>
                <w:b/>
                <w:bCs/>
                <w:color w:val="000000"/>
                <w:sz w:val="14"/>
                <w:szCs w:val="14"/>
                <w:shd w:fill="FFFFFF" w:val="clear"/>
              </w:rPr>
            </w:pPr>
            <w:r>
              <w:rPr>
                <w:rFonts w:cs="Arial"/>
                <w:b/>
                <w:bCs/>
                <w:color w:val="000000"/>
                <w:sz w:val="14"/>
                <w:szCs w:val="14"/>
                <w:shd w:fill="FFFFFF" w:val="clear"/>
              </w:rPr>
              <w:t>IDENTIFICAÇÃO CATMAT</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jc w:val="center"/>
              <w:rPr>
                <w:rFonts w:cs="Arial"/>
                <w:b/>
                <w:b/>
                <w:bCs/>
                <w:color w:val="000000"/>
                <w:sz w:val="14"/>
                <w:szCs w:val="14"/>
                <w:shd w:fill="FFFFFF" w:val="clear"/>
              </w:rPr>
            </w:pPr>
            <w:r>
              <w:rPr>
                <w:rFonts w:cs="Arial"/>
                <w:b/>
                <w:bCs/>
                <w:color w:val="000000"/>
                <w:sz w:val="14"/>
                <w:szCs w:val="14"/>
                <w:shd w:fill="FFFFFF" w:val="clear"/>
              </w:rPr>
              <w:t>UNIDADE DE MEDIDA</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jc w:val="center"/>
              <w:rPr>
                <w:rFonts w:cs="Arial"/>
                <w:b/>
                <w:b/>
                <w:bCs/>
                <w:color w:val="000000"/>
                <w:sz w:val="14"/>
                <w:szCs w:val="14"/>
                <w:shd w:fill="FFFFFF" w:val="clear"/>
              </w:rPr>
            </w:pPr>
            <w:bookmarkStart w:id="0" w:name="__DdeLink__803_1639780047"/>
            <w:bookmarkEnd w:id="0"/>
            <w:r>
              <w:rPr>
                <w:rFonts w:cs="Arial"/>
                <w:b/>
                <w:bCs/>
                <w:color w:val="000000"/>
                <w:sz w:val="14"/>
                <w:szCs w:val="14"/>
                <w:shd w:fill="FFFFFF" w:val="clear"/>
              </w:rPr>
              <w:t>QUANT</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jc w:val="center"/>
              <w:rPr>
                <w:rFonts w:cs="Arial"/>
                <w:b/>
                <w:b/>
                <w:bCs/>
                <w:color w:val="000000"/>
                <w:sz w:val="14"/>
                <w:szCs w:val="14"/>
                <w:shd w:fill="FFFFFF" w:val="clear"/>
              </w:rPr>
            </w:pPr>
            <w:r>
              <w:rPr>
                <w:rFonts w:cs="Arial"/>
                <w:b/>
                <w:bCs/>
                <w:color w:val="000000"/>
                <w:sz w:val="14"/>
                <w:szCs w:val="14"/>
                <w:shd w:fill="FFFFFF" w:val="clear"/>
              </w:rPr>
              <w:t>VALOR ESTIMADO</w:t>
            </w:r>
          </w:p>
        </w:tc>
      </w:tr>
      <w:tr>
        <w:trPr/>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jc w:val="center"/>
              <w:rPr>
                <w:rFonts w:cs="Arial"/>
                <w:b/>
                <w:b/>
                <w:color w:val="000000"/>
                <w:sz w:val="16"/>
                <w:szCs w:val="16"/>
                <w:shd w:fill="FFFFFF" w:val="clear"/>
              </w:rPr>
            </w:pPr>
            <w:r>
              <w:rPr>
                <w:rFonts w:cs="Arial"/>
                <w:b/>
                <w:color w:val="000000"/>
                <w:sz w:val="16"/>
                <w:szCs w:val="16"/>
                <w:shd w:fill="FFFFFF" w:val="clear"/>
              </w:rPr>
              <w:t>1</w:t>
            </w:r>
          </w:p>
        </w:tc>
        <w:tc>
          <w:tcPr>
            <w:tcW w:w="4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jc w:val="both"/>
              <w:rPr>
                <w:rFonts w:ascii="ARIAL" w:hAnsi="ARIAL"/>
                <w:b w:val="false"/>
                <w:b w:val="false"/>
                <w:i w:val="false"/>
                <w:i w:val="false"/>
                <w:caps w:val="false"/>
                <w:smallCaps w:val="false"/>
                <w:color w:val="000000"/>
                <w:spacing w:val="0"/>
                <w:sz w:val="16"/>
              </w:rPr>
            </w:pPr>
            <w:r>
              <w:rPr>
                <w:rFonts w:ascii="ARIAL" w:hAnsi="ARIAL"/>
                <w:b w:val="false"/>
                <w:i w:val="false"/>
                <w:caps w:val="false"/>
                <w:smallCaps w:val="false"/>
                <w:color w:val="000000"/>
                <w:spacing w:val="0"/>
                <w:sz w:val="17"/>
              </w:rPr>
              <w:t>C</w:t>
            </w:r>
            <w:r>
              <w:rPr>
                <w:rFonts w:ascii="ARIAL" w:hAnsi="ARIAL"/>
                <w:b w:val="false"/>
                <w:i w:val="false"/>
                <w:caps w:val="false"/>
                <w:smallCaps w:val="false"/>
                <w:color w:val="000000"/>
                <w:spacing w:val="0"/>
                <w:sz w:val="16"/>
              </w:rPr>
              <w:t>ATMAT - 10871 - MARAVALHA (PALHA) DE MADEIRA PINUS ELLIOTE, ESPECIAL, SECA, NÃO RESINOSA, OBTIDA DE MADEIRA INODORA E RENOVÁVEL, QUE NÃO TENHA SOFRIDO PRÉVIO TRATAMENTO QUÍMICO, LIVRE DE FONTES CONTAMINANTES TIPO INSETICIDAS E OUTROS, NÃO ORIUNDA DE CARPINTARIA, SERRARIAS, MÓVEIS E OUTROS. EM LASCAS DE MADEIRA COM ESPESSURA DE NO MÁXIMO 1,0mm, NA COR MARFIM, PENEIRADA EM PENEIRA DE FIO 10, MALHA 8 LIVRE DE PÓ DE SERRAGENS E OUTROS, LIVRE DE INSETOS, FUNGOS MANCHADORES E/OU APODRECEDORES, DEVE PROMOVER ALTA ABSORÇÃO, PREPARADA PARA SER UTILIZADA ESPECIFICAMENTE EM BIOTÉRIOS COMO FORRAGEM DE CAIXAS PARA CRIAÇÃO DE ANIMAIS DE LABORATÓRIO, RATOS E CAMUNDONGOS DE PESQUISA. ACONDICIONADA EM SACO DE POLIETILENO(TIPO RAFIA) DE 80 LITROS, PESANDO APROXIMADAMENTE 5KG, ESTERILIZÁVEL EM AUTOCLAVE.</w:t>
            </w:r>
          </w:p>
        </w:tc>
        <w:tc>
          <w:tcPr>
            <w:tcW w:w="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jc w:val="both"/>
              <w:rPr>
                <w:rFonts w:ascii="Arial;Verdana;sans-serif" w:hAnsi="Arial;Verdana;sans-serif" w:cs="Arial"/>
                <w:b w:val="false"/>
                <w:b w:val="false"/>
                <w:i w:val="false"/>
                <w:i w:val="false"/>
                <w:caps w:val="false"/>
                <w:smallCaps w:val="false"/>
                <w:color w:val="000000"/>
                <w:spacing w:val="0"/>
                <w:sz w:val="16"/>
                <w:szCs w:val="16"/>
                <w:shd w:fill="FFFFFF" w:val="clear"/>
              </w:rPr>
            </w:pPr>
            <w:r>
              <w:rPr>
                <w:rFonts w:cs="Arial" w:ascii="Arial;Verdana;sans-serif" w:hAnsi="Arial;Verdana;sans-serif"/>
                <w:b w:val="false"/>
                <w:i w:val="false"/>
                <w:caps w:val="false"/>
                <w:smallCaps w:val="false"/>
                <w:color w:val="000000"/>
                <w:spacing w:val="0"/>
                <w:sz w:val="16"/>
                <w:szCs w:val="16"/>
                <w:shd w:fill="FFFFFF" w:val="clear"/>
              </w:rPr>
              <w:t>10871</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UNIDADE</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2500</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R$ 73,20</w:t>
            </w:r>
          </w:p>
        </w:tc>
      </w:tr>
      <w:tr>
        <w:trPr/>
        <w:tc>
          <w:tcPr>
            <w:tcW w:w="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jc w:val="center"/>
              <w:rPr>
                <w:shd w:fill="FFFFFF" w:val="clear"/>
              </w:rPr>
            </w:pPr>
            <w:r>
              <w:rPr>
                <w:shd w:fill="FFFFFF" w:val="clear"/>
              </w:rPr>
              <w:t>2</w:t>
            </w:r>
          </w:p>
        </w:tc>
        <w:tc>
          <w:tcPr>
            <w:tcW w:w="44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jc w:val="both"/>
              <w:rPr>
                <w:rFonts w:ascii="Arial;Verdana;sans-serif" w:hAnsi="Arial;Verdana;sans-serif"/>
                <w:b w:val="false"/>
                <w:b w:val="false"/>
                <w:i w:val="false"/>
                <w:i w:val="false"/>
                <w:caps w:val="false"/>
                <w:smallCaps w:val="false"/>
                <w:color w:val="000000"/>
                <w:spacing w:val="0"/>
                <w:sz w:val="17"/>
              </w:rPr>
            </w:pPr>
            <w:r>
              <w:rPr>
                <w:rFonts w:ascii="Arial;Verdana;sans-serif" w:hAnsi="Arial;Verdana;sans-serif"/>
                <w:b w:val="false"/>
                <w:i w:val="false"/>
                <w:caps w:val="false"/>
                <w:smallCaps w:val="false"/>
                <w:color w:val="000000"/>
                <w:spacing w:val="0"/>
                <w:sz w:val="17"/>
              </w:rPr>
              <w:t>CATMAT - 150642 - Ração Peletizada e irradiada por raios gama (Dose mínima absorvida: 15 kGy), específica para ratos e camundongos criados em laboratório. COMPOSIÇÃO: Milho integral moído, farelo de soja, farelo de trigo, carbonato de cálcio, fosfato bicálcico, cloreto de sódio (sal comum), vitamina A, vitamina D3, vitamina E, vitamina K3, vitamina B1, vitamina B2, vitamina B6, vitamina B12, niacina, pantotenato de cálcio, ácido fólico, biotina, cloreto de colina, sulfato de ferro, monóxido de manganês, óxido de zinco, sulfato de cobre, iodato de cálcio, selenito de sódio, sulfato de cobalto, lisina, metionina, BHT. NÍVEIS DE GARANTIA POR QUILOGRAMA DO PRODUTO: Umidade (máx.) 125 g/kg - Proteína Bruta (min.) 220 g/kg - Extrato Etéreo (min.) 50 g/kg - Material Mineral (max.) 90 g/kg - Fibra Bruta (max.) 70 g/kg - Cálcio (min-máx.) 10 a 14 g/kg - Fósforo (min.) 6.000 mg/kg. SUPLEMENTAÇÃO POR QUILO: Vitamina A (mín) 13.000 UI/kg; Vitamina D3 (mín) 2.000 UI/kg; vitamina E (mín) 34 UI/kg; vitamina K3 (mín) 3 mg/kg; vitamina B1 (mín) 5 mg/kg; vitamina B2 (mín) 6 mg/kg; vitamina B6 (mín) 7 mg/kg; vitamina B12 (mín) 22 mcg/kg; niacina (mín) 60 mg/kg; Pantotên. de Calcio (mín) 21 mg/kg; ácido fólico (mín) 1 mg/kg; biotina (mín) 0,05 mg/kg; colina (mín) 1.900 mg/kg. MICROELEMENTOS MINERAIS: Sódio (mín) 2.700 mg/kg; Ferro (mín) 50 mg/kg; manganês 60 mg/kg; zinco (mín) 60 mg/kg; cobre (mín) 10 mg/kg; iodo (mín) 2 mg/kg; selênio (mín) 0,05 mg/kg; cobalto (mín) 1,5 mg/kg. Flúor (máx) 60 mg/kg. AMINOÁCIDOS: Lisina (mín) 12 g/kg; metionina (mín) 4.000 mg/kg. ADITIVOS: BHT 100 mg/kg PELLET: 15 A 16 mm de diâmetro e 30 a 40 mm de comprimento com alto grau de compactação. Fornecida em Sacos Plástico duplos com 20 Kg. Validade: 180 dias. O produto deve possuir certificado de Irradiação, emitido pela empresa que industrializa/irradia, identificando o nome, o lote do produto e a dose da irradiação. Laudo bromatológico da ração irradiada detalhando o nome do produto e lote. Ambos os laudos devem ser enviados junto a cada remessa solicitada.</w:t>
            </w:r>
          </w:p>
        </w:tc>
        <w:tc>
          <w:tcPr>
            <w:tcW w:w="9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150642</w:t>
            </w:r>
          </w:p>
        </w:tc>
        <w:tc>
          <w:tcPr>
            <w:tcW w:w="10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SACO</w:t>
            </w:r>
          </w:p>
        </w:tc>
        <w:tc>
          <w:tcPr>
            <w:tcW w:w="6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1200</w:t>
            </w:r>
          </w:p>
        </w:tc>
        <w:tc>
          <w:tcPr>
            <w:tcW w:w="13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3" w:type="dxa"/>
            </w:tcMar>
          </w:tcPr>
          <w:p>
            <w:pPr>
              <w:pStyle w:val="Normal"/>
              <w:widowControl w:val="false"/>
              <w:suppressAutoHyphens w:val="true"/>
              <w:spacing w:lineRule="auto" w:line="276" w:before="0" w:after="120"/>
              <w:rPr>
                <w:rFonts w:cs="Arial"/>
                <w:color w:val="000000"/>
                <w:sz w:val="16"/>
                <w:szCs w:val="16"/>
                <w:shd w:fill="FFFFFF" w:val="clear"/>
              </w:rPr>
            </w:pPr>
            <w:r>
              <w:rPr>
                <w:rFonts w:cs="Arial"/>
                <w:color w:val="000000"/>
                <w:sz w:val="16"/>
                <w:szCs w:val="16"/>
                <w:shd w:fill="FFFFFF" w:val="clear"/>
              </w:rPr>
              <w:t>R$ 209,34</w:t>
            </w:r>
          </w:p>
        </w:tc>
      </w:tr>
    </w:tbl>
    <w:p>
      <w:pPr>
        <w:pStyle w:val="Normal"/>
        <w:spacing w:lineRule="auto" w:line="276" w:before="0" w:after="120"/>
        <w:jc w:val="both"/>
        <w:rPr>
          <w:rFonts w:cs="Arial"/>
          <w:b/>
          <w:b/>
          <w:color w:val="000000"/>
          <w:szCs w:val="20"/>
        </w:rPr>
      </w:pPr>
      <w:r>
        <w:rPr>
          <w:rFonts w:cs="Arial"/>
          <w:b/>
          <w:color w:val="000000"/>
          <w:szCs w:val="20"/>
        </w:rPr>
      </w:r>
    </w:p>
    <w:p>
      <w:pPr>
        <w:pStyle w:val="ListParagraph"/>
        <w:numPr>
          <w:ilvl w:val="1"/>
          <w:numId w:val="1"/>
        </w:numPr>
        <w:spacing w:lineRule="auto" w:line="276" w:before="120" w:after="120"/>
        <w:contextualSpacing/>
        <w:jc w:val="both"/>
        <w:rPr>
          <w:rFonts w:cs="Arial"/>
          <w:bCs/>
          <w:iCs/>
          <w:color w:val="000000"/>
          <w:szCs w:val="20"/>
        </w:rPr>
      </w:pPr>
      <w:r>
        <w:rPr>
          <w:rFonts w:cs="Arial"/>
          <w:bCs/>
          <w:iCs/>
          <w:color w:val="000000"/>
          <w:szCs w:val="20"/>
        </w:rPr>
        <w:t xml:space="preserve">O prazo de vigência da contratação é de 12 meses contados da assinatura da ata </w:t>
      </w:r>
      <w:r>
        <w:rPr>
          <w:rFonts w:cs="Arial"/>
          <w:bCs/>
          <w:iCs/>
          <w:color w:val="FF0000"/>
          <w:szCs w:val="20"/>
        </w:rPr>
        <w:t xml:space="preserve"> </w:t>
      </w:r>
      <w:r>
        <w:rPr>
          <w:rFonts w:cs="Arial"/>
          <w:bCs/>
          <w:iCs/>
          <w:color w:val="000000"/>
          <w:szCs w:val="20"/>
        </w:rPr>
        <w:t>prorrogável na forma do art. 57, § 1°, da Lei n° 8.666/93.</w:t>
      </w:r>
    </w:p>
    <w:p>
      <w:pPr>
        <w:pStyle w:val="Nivel1"/>
        <w:keepNext/>
        <w:keepLines/>
        <w:widowControl/>
        <w:numPr>
          <w:ilvl w:val="0"/>
          <w:numId w:val="1"/>
        </w:numPr>
        <w:suppressAutoHyphens w:val="true"/>
        <w:overflowPunct w:val="true"/>
        <w:bidi w:val="0"/>
        <w:spacing w:lineRule="auto" w:line="276" w:before="480" w:after="120"/>
        <w:ind w:left="0" w:right="0" w:hanging="0"/>
        <w:jc w:val="both"/>
        <w:rPr/>
      </w:pPr>
      <w:r>
        <w:rPr/>
        <w:t>JUSTIFICATIVA E OBJETIVO DA CONTRATAÇÃO</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Os materiais requisitados são destinados a atender demanda do Biotério Central, que desenvolve as seguintes atividades: criação, manutenção, fornecimento e experimentação dos animais de laboratório. </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Os materiais são necessários devidos às necessidades fisiológicas dos animais mantidos nessas Unidades, e a não aquisição implicará no comprometimento do bem-estar dos animais, destas Unidades, favorecendo a transtornos fisiológicos, sanitário, levando os animais a sofrimento e consequentemente óbito. </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As especificações técnicas e quantitativos dos materiais/ serviços a serem adquiridos, estão de acordo com o previsto no artigo 15, §7 da Lei 8.666/1993, demonstrados explicitamente no Anexo A do termo de referência. </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Em atenção ao artigo 3º do Decreto 7.892/2013, informamos que os quantitativos dos materiais requisitados levam em consideração o atendimento das necessidades da Administração, dentro do período de 12 (doze) meses – período máximo da vigência da Ata de Registro de Preços não permite aditivos.  </w:t>
      </w:r>
    </w:p>
    <w:p>
      <w:pPr>
        <w:pStyle w:val="Normal"/>
        <w:numPr>
          <w:ilvl w:val="1"/>
          <w:numId w:val="1"/>
        </w:numPr>
        <w:spacing w:lineRule="auto" w:line="276" w:before="120" w:after="120"/>
        <w:jc w:val="both"/>
        <w:rPr>
          <w:rFonts w:cs="Arial"/>
          <w:color w:val="00000A"/>
          <w:szCs w:val="20"/>
        </w:rPr>
      </w:pPr>
      <w:r>
        <w:rPr>
          <w:rFonts w:cs="Arial"/>
          <w:color w:val="00000A"/>
          <w:szCs w:val="20"/>
        </w:rPr>
        <w:t>A estimativa dos materiais a serem adquiridos e sua provável utilização foi baseada em função da média dos anos anteriores e na projeção do aumento da demanda das unidades acadêmicas.</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Apesar da existência de Atas vigente (PE 03/2019 até 06/05/2020 e PE 7/2019 até 09/06/20) para os insumos na contratação pretendida, a mesma faz-se necessária visto a </w:t>
      </w:r>
    </w:p>
    <w:p>
      <w:pPr>
        <w:pStyle w:val="Normal"/>
        <w:numPr>
          <w:ilvl w:val="1"/>
          <w:numId w:val="1"/>
        </w:numPr>
        <w:spacing w:lineRule="auto" w:line="276" w:before="120" w:after="120"/>
        <w:jc w:val="both"/>
        <w:rPr>
          <w:rFonts w:cs="Arial"/>
          <w:color w:val="00000A"/>
          <w:szCs w:val="20"/>
        </w:rPr>
      </w:pPr>
      <w:r>
        <w:rPr>
          <w:rFonts w:cs="Arial"/>
          <w:color w:val="00000A"/>
          <w:szCs w:val="20"/>
        </w:rPr>
        <w:t xml:space="preserve">O quantitativo dos materiais requisitados levam em consideração o atendimento das necessidades da Administração, dentro do período de 12 meses – período máximo da vigência da Ata de registro de preços – inclusive o atendimento de situações imprevisíveis, tendo em vista que a Ata de registro de preços não permite qualquer a aditivo. </w:t>
      </w:r>
    </w:p>
    <w:p>
      <w:pPr>
        <w:pStyle w:val="Normal"/>
        <w:widowControl/>
        <w:suppressAutoHyphens w:val="true"/>
        <w:overflowPunct w:val="true"/>
        <w:bidi w:val="0"/>
        <w:spacing w:lineRule="auto" w:line="276" w:before="120" w:after="120"/>
        <w:ind w:left="283" w:right="0" w:hanging="0"/>
        <w:jc w:val="both"/>
        <w:rPr>
          <w:rFonts w:cs="Arial"/>
          <w:color w:val="00000A"/>
          <w:szCs w:val="20"/>
        </w:rPr>
      </w:pPr>
      <w:r>
        <w:rPr>
          <w:rFonts w:cs="Arial"/>
          <w:b/>
          <w:bCs/>
          <w:color w:val="00000A"/>
          <w:szCs w:val="20"/>
        </w:rPr>
        <w:t>2.8.</w:t>
      </w:r>
      <w:r>
        <w:rPr>
          <w:rFonts w:cs="Arial"/>
          <w:color w:val="00000A"/>
          <w:szCs w:val="20"/>
        </w:rPr>
        <w:t xml:space="preserve"> </w:t>
      </w:r>
      <w:r>
        <w:rPr>
          <w:rFonts w:cs="Arial"/>
          <w:color w:val="00000A"/>
          <w:szCs w:val="20"/>
        </w:rPr>
        <w:t xml:space="preserve">A estimativa dos materiais a serem adquiridos a sua provável utilização foi baseada em função da média dos anos anteriores. </w:t>
      </w:r>
    </w:p>
    <w:p>
      <w:pPr>
        <w:pStyle w:val="Nivel1"/>
        <w:numPr>
          <w:ilvl w:val="0"/>
          <w:numId w:val="1"/>
        </w:numPr>
        <w:rPr/>
      </w:pPr>
      <w:r>
        <w:rPr/>
        <w:t>CLASSIFICAÇÃO DOS BENS COMUNS</w:t>
      </w:r>
    </w:p>
    <w:p>
      <w:pPr>
        <w:pStyle w:val="Normal"/>
        <w:numPr>
          <w:ilvl w:val="1"/>
          <w:numId w:val="1"/>
        </w:numPr>
        <w:spacing w:lineRule="auto" w:line="276" w:before="120" w:after="120"/>
        <w:ind w:left="716" w:right="0" w:hanging="432"/>
        <w:jc w:val="both"/>
        <w:rPr/>
      </w:pPr>
      <w:r>
        <w:rPr>
          <w:rFonts w:cs="Arial"/>
          <w:b w:val="false"/>
          <w:bCs w:val="false"/>
          <w:color w:val="000000"/>
          <w:szCs w:val="20"/>
        </w:rPr>
        <w:t xml:space="preserve">Os bens a serem adquiridos enquadram-se na classificação de bens comuns, nos termos da Lei nº 10.520/ 2002. </w:t>
      </w:r>
    </w:p>
    <w:p>
      <w:pPr>
        <w:pStyle w:val="Nivel1"/>
        <w:numPr>
          <w:ilvl w:val="0"/>
          <w:numId w:val="1"/>
        </w:numPr>
        <w:rPr/>
      </w:pPr>
      <w:r>
        <w:rPr/>
        <w:t>ENTREGA E CRITÉRIOS DE ACEITAÇÃO DO OBJETO.</w:t>
      </w:r>
    </w:p>
    <w:p>
      <w:pPr>
        <w:pStyle w:val="Normal"/>
        <w:numPr>
          <w:ilvl w:val="1"/>
          <w:numId w:val="1"/>
        </w:numPr>
        <w:spacing w:lineRule="auto" w:line="276" w:before="120" w:after="120"/>
        <w:jc w:val="both"/>
        <w:rPr>
          <w:rFonts w:cs="Arial"/>
          <w:iCs/>
          <w:color w:val="000000"/>
          <w:szCs w:val="20"/>
        </w:rPr>
      </w:pPr>
      <w:r>
        <w:rPr>
          <w:rFonts w:cs="Arial"/>
          <w:iCs/>
          <w:color w:val="000000"/>
          <w:szCs w:val="20"/>
        </w:rPr>
        <w:t xml:space="preserve">O prazo de entrega dos bens é de 30 dias, contados do recebimento de nota de empenho em remessa parcelada, de acordo com a demanda do Biotério Central no endereço: Biotério Central da Universidade Federal de Alagoas – Campus A.C. Simões, na Avenida Lourival de Melo Mota, S/N, Tabuleiro dos Martins – Maceió/AL, CEP: 57072-970, Telefone: (82) 3214-1112, de segunda a sexta feira no horário das 08:00 às 12:00 e das 14:00 às 16:00 horas.  </w:t>
      </w:r>
    </w:p>
    <w:p>
      <w:pPr>
        <w:pStyle w:val="Normal"/>
        <w:numPr>
          <w:ilvl w:val="1"/>
          <w:numId w:val="1"/>
        </w:numPr>
        <w:spacing w:lineRule="auto" w:line="276" w:before="120" w:after="120"/>
        <w:ind w:left="716" w:right="0" w:hanging="432"/>
        <w:jc w:val="both"/>
        <w:rPr>
          <w:rFonts w:cs="Arial"/>
          <w:bCs/>
          <w:color w:val="6666FF"/>
          <w:szCs w:val="20"/>
        </w:rPr>
      </w:pPr>
      <w:r>
        <w:rPr>
          <w:rFonts w:cs="Arial"/>
          <w:bCs/>
          <w:color w:val="000000"/>
          <w:szCs w:val="20"/>
        </w:rPr>
        <w:t xml:space="preserve">O prazo de validade dos materiais na data da entrega não poderá ser inferior a 165 dias, ou a 5/6 (cinco sexto)  do prazo total recomendado pelo fabricante, contados da data do recebimento definitivo do material. </w:t>
      </w:r>
    </w:p>
    <w:p>
      <w:pPr>
        <w:pStyle w:val="Normal"/>
        <w:widowControl/>
        <w:numPr>
          <w:ilvl w:val="1"/>
          <w:numId w:val="1"/>
        </w:numPr>
        <w:bidi w:val="0"/>
        <w:spacing w:lineRule="auto" w:line="276" w:before="120" w:after="120"/>
        <w:ind w:left="716" w:right="0" w:hanging="432"/>
        <w:jc w:val="both"/>
        <w:rPr>
          <w:rFonts w:cs="Arial"/>
          <w:bCs/>
          <w:color w:val="6666FF"/>
          <w:szCs w:val="20"/>
        </w:rPr>
      </w:pPr>
      <w:r>
        <w:rPr>
          <w:rFonts w:cs="Arial"/>
          <w:bCs/>
          <w:color w:val="000000"/>
          <w:szCs w:val="20"/>
        </w:rPr>
        <w:t xml:space="preserve">Os materiais deverão ser acondicionados em embalagens individuais, impermeáveis, intactas e autoclaváveis de acordo com as especificações descritas no </w:t>
      </w:r>
      <w:r>
        <w:rPr>
          <w:rFonts w:cs="Arial"/>
          <w:bCs/>
          <w:color w:val="000000"/>
          <w:szCs w:val="20"/>
          <w:shd w:fill="FFFFFF" w:val="clear"/>
        </w:rPr>
        <w:t xml:space="preserve">Anexo A </w:t>
      </w:r>
      <w:r>
        <w:rPr>
          <w:rFonts w:cs="Arial"/>
          <w:bCs/>
          <w:color w:val="000000"/>
          <w:szCs w:val="20"/>
        </w:rPr>
        <w:t xml:space="preserve">do Termo de Referência. </w:t>
      </w:r>
    </w:p>
    <w:p>
      <w:pPr>
        <w:pStyle w:val="Normal"/>
        <w:widowControl/>
        <w:numPr>
          <w:ilvl w:val="1"/>
          <w:numId w:val="1"/>
        </w:numPr>
        <w:bidi w:val="0"/>
        <w:spacing w:lineRule="auto" w:line="276" w:before="120" w:after="120"/>
        <w:ind w:left="716" w:right="0" w:hanging="432"/>
        <w:jc w:val="both"/>
        <w:rPr>
          <w:rFonts w:cs="Arial"/>
          <w:bCs/>
          <w:color w:val="6666FF"/>
          <w:szCs w:val="20"/>
        </w:rPr>
      </w:pPr>
      <w:r>
        <w:rPr>
          <w:rFonts w:cs="Arial"/>
          <w:bCs/>
          <w:color w:val="000000"/>
          <w:szCs w:val="20"/>
        </w:rPr>
        <w:t xml:space="preserve">Os materiais deverão ser transportados em caminhão tipo baú que impossibilite a ação do sol e da chuva. </w:t>
      </w:r>
    </w:p>
    <w:p>
      <w:pPr>
        <w:pStyle w:val="Normal"/>
        <w:widowControl/>
        <w:suppressAutoHyphens w:val="true"/>
        <w:overflowPunct w:val="true"/>
        <w:bidi w:val="0"/>
        <w:spacing w:lineRule="auto" w:line="276" w:before="120" w:after="120"/>
        <w:ind w:left="907" w:right="0" w:hanging="0"/>
        <w:jc w:val="both"/>
        <w:rPr>
          <w:rFonts w:cs="Arial"/>
          <w:bCs/>
          <w:color w:val="6666FF"/>
          <w:szCs w:val="20"/>
        </w:rPr>
      </w:pPr>
      <w:r>
        <w:rPr>
          <w:rFonts w:cs="Arial"/>
          <w:b/>
          <w:bCs/>
          <w:color w:val="000000"/>
          <w:szCs w:val="20"/>
        </w:rPr>
        <w:t>4.4.1</w:t>
      </w:r>
      <w:r>
        <w:rPr>
          <w:rFonts w:cs="Arial"/>
          <w:bCs/>
          <w:color w:val="000000"/>
          <w:szCs w:val="20"/>
        </w:rPr>
        <w:t>. A carga deve ser transportada em paletes e separadas de outros materiais que possam, contaminá-la ou facilitar sua deterioração;</w:t>
      </w:r>
    </w:p>
    <w:p>
      <w:pPr>
        <w:pStyle w:val="Normal"/>
        <w:widowControl/>
        <w:suppressAutoHyphens w:val="true"/>
        <w:overflowPunct w:val="true"/>
        <w:bidi w:val="0"/>
        <w:spacing w:lineRule="auto" w:line="276" w:before="120" w:after="120"/>
        <w:ind w:left="907" w:right="0" w:hanging="0"/>
        <w:jc w:val="both"/>
        <w:rPr>
          <w:color w:val="000000"/>
        </w:rPr>
      </w:pPr>
      <w:r>
        <w:rPr>
          <w:rFonts w:cs="Arial"/>
          <w:b/>
          <w:bCs/>
          <w:color w:val="000000"/>
          <w:szCs w:val="20"/>
        </w:rPr>
        <w:t>4.4.2.</w:t>
      </w:r>
      <w:r>
        <w:rPr>
          <w:rFonts w:cs="Arial"/>
          <w:bCs/>
          <w:color w:val="000000"/>
          <w:szCs w:val="20"/>
        </w:rPr>
        <w:t xml:space="preserve"> Os entregadores deverão possuir identificação;</w:t>
      </w:r>
    </w:p>
    <w:p>
      <w:pPr>
        <w:pStyle w:val="Normal"/>
        <w:widowControl/>
        <w:bidi w:val="0"/>
        <w:spacing w:lineRule="auto" w:line="276" w:before="120" w:after="120"/>
        <w:ind w:left="716" w:right="0" w:hanging="432"/>
        <w:jc w:val="both"/>
        <w:rPr>
          <w:color w:val="000000"/>
        </w:rPr>
      </w:pPr>
      <w:r>
        <w:rPr>
          <w:rFonts w:cs="Arial"/>
          <w:b/>
          <w:bCs/>
          <w:color w:val="000000"/>
          <w:szCs w:val="20"/>
        </w:rPr>
        <w:t>4.5.</w:t>
      </w:r>
      <w:r>
        <w:rPr>
          <w:rFonts w:cs="Arial"/>
          <w:bCs/>
          <w:color w:val="000000"/>
          <w:szCs w:val="20"/>
        </w:rPr>
        <w:t xml:space="preserve"> Para o item 2 - </w:t>
      </w:r>
      <w:r>
        <w:rPr>
          <w:rFonts w:cs="Arial" w:ascii="Arial;Verdana;sans-serif" w:hAnsi="Arial;Verdana;sans-serif"/>
          <w:b w:val="false"/>
          <w:bCs/>
          <w:i w:val="false"/>
          <w:caps w:val="false"/>
          <w:smallCaps w:val="false"/>
          <w:color w:val="000000"/>
          <w:spacing w:val="0"/>
          <w:sz w:val="20"/>
          <w:szCs w:val="20"/>
        </w:rPr>
        <w:t>O produto deve possuir certificado de Irradiação, emitido pela empresa que industrializa/irradia, identificando o nome, o lote do produto e a dose da irradiação. Laudo bromatológico da ração irradiada detalhando o nome do produto e lote. Ambos os laudos devem ser enviados junto a cada remessa solicitada.</w:t>
      </w:r>
    </w:p>
    <w:p>
      <w:pPr>
        <w:pStyle w:val="Normal"/>
        <w:widowControl/>
        <w:numPr>
          <w:ilvl w:val="0"/>
          <w:numId w:val="0"/>
        </w:numPr>
        <w:suppressAutoHyphens w:val="true"/>
        <w:overflowPunct w:val="true"/>
        <w:bidi w:val="0"/>
        <w:spacing w:lineRule="auto" w:line="276" w:before="120" w:after="120"/>
        <w:ind w:left="283" w:right="0" w:hanging="454"/>
        <w:jc w:val="both"/>
        <w:rPr>
          <w:rFonts w:cs="Arial"/>
          <w:color w:val="000000"/>
          <w:szCs w:val="20"/>
        </w:rPr>
      </w:pPr>
      <w:r>
        <w:rPr>
          <w:rFonts w:cs="Arial"/>
          <w:b/>
          <w:bCs/>
          <w:color w:val="000000"/>
          <w:szCs w:val="20"/>
        </w:rPr>
        <w:t>4.6.</w:t>
      </w:r>
      <w:r>
        <w:rPr>
          <w:rFonts w:cs="Arial"/>
          <w:color w:val="000000"/>
          <w:szCs w:val="20"/>
        </w:rPr>
        <w:t xml:space="preserve"> </w:t>
      </w:r>
      <w:r>
        <w:rPr>
          <w:rFonts w:cs="Arial"/>
          <w:color w:val="000000"/>
          <w:szCs w:val="20"/>
        </w:rPr>
        <w:t xml:space="preserve">Os bens serão recebidos provisoriamente no prazo de 15 (quinze) dias,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pStyle w:val="Normal"/>
        <w:widowControl/>
        <w:numPr>
          <w:ilvl w:val="0"/>
          <w:numId w:val="0"/>
        </w:numPr>
        <w:suppressAutoHyphens w:val="true"/>
        <w:overflowPunct w:val="true"/>
        <w:bidi w:val="0"/>
        <w:spacing w:lineRule="auto" w:line="276" w:before="120" w:after="120"/>
        <w:ind w:left="283" w:right="0" w:hanging="0"/>
        <w:jc w:val="both"/>
        <w:rPr>
          <w:rFonts w:cs="Arial"/>
          <w:bCs/>
          <w:color w:val="000000"/>
          <w:szCs w:val="20"/>
        </w:rPr>
      </w:pPr>
      <w:r>
        <w:rPr>
          <w:rFonts w:cs="Arial"/>
          <w:b/>
          <w:bCs/>
          <w:color w:val="000000"/>
          <w:szCs w:val="20"/>
        </w:rPr>
        <w:t>4.7.</w:t>
      </w:r>
      <w:r>
        <w:rPr>
          <w:rFonts w:cs="Arial"/>
          <w:bCs/>
          <w:color w:val="000000"/>
          <w:szCs w:val="20"/>
        </w:rPr>
        <w:t xml:space="preserve"> </w:t>
      </w:r>
      <w:r>
        <w:rPr>
          <w:rFonts w:cs="Arial"/>
          <w:bCs/>
          <w:color w:val="000000"/>
          <w:szCs w:val="20"/>
        </w:rPr>
        <w:t>Os bens poderão ser rejeitados, no todo ou em parte, quando em desacordo com as especificações constantes neste Termo de Referência e na proposta, devendo ser substituídos no prazo de 15 (quinze) dias, a contar da notificação da contratada, às suas custas, sem prejuízo da aplicação das penalidades.</w:t>
      </w:r>
    </w:p>
    <w:p>
      <w:pPr>
        <w:pStyle w:val="Normal"/>
        <w:widowControl/>
        <w:numPr>
          <w:ilvl w:val="0"/>
          <w:numId w:val="0"/>
        </w:numPr>
        <w:suppressAutoHyphens w:val="true"/>
        <w:overflowPunct w:val="true"/>
        <w:bidi w:val="0"/>
        <w:spacing w:lineRule="auto" w:line="276" w:before="120" w:after="120"/>
        <w:ind w:left="283" w:right="0" w:hanging="0"/>
        <w:jc w:val="both"/>
        <w:rPr>
          <w:rFonts w:cs="Arial"/>
          <w:color w:val="000000"/>
          <w:szCs w:val="20"/>
        </w:rPr>
      </w:pPr>
      <w:r>
        <w:rPr>
          <w:rFonts w:cs="Arial"/>
          <w:b/>
          <w:bCs/>
          <w:color w:val="000000"/>
          <w:szCs w:val="20"/>
        </w:rPr>
        <w:t>4.8.</w:t>
      </w:r>
      <w:r>
        <w:rPr>
          <w:rFonts w:cs="Arial"/>
          <w:color w:val="000000"/>
          <w:szCs w:val="20"/>
        </w:rPr>
        <w:t xml:space="preserve"> </w:t>
      </w:r>
      <w:r>
        <w:rPr>
          <w:rFonts w:cs="Arial"/>
          <w:color w:val="000000"/>
          <w:szCs w:val="20"/>
        </w:rPr>
        <w:t>Os bens serão recebidos definitivamente no prazo de 15 (quinze) dias, contados do recebimento provisório, após a verificação da qualidade e quantidade do material e consequente aceitação mediante termo circunstanciado.</w:t>
      </w:r>
    </w:p>
    <w:p>
      <w:pPr>
        <w:pStyle w:val="Normal"/>
        <w:widowControl/>
        <w:numPr>
          <w:ilvl w:val="0"/>
          <w:numId w:val="0"/>
        </w:numPr>
        <w:suppressAutoHyphens w:val="true"/>
        <w:overflowPunct w:val="true"/>
        <w:bidi w:val="0"/>
        <w:spacing w:lineRule="auto" w:line="276" w:before="120" w:after="120"/>
        <w:ind w:left="907" w:right="0" w:hanging="510"/>
        <w:jc w:val="both"/>
        <w:rPr>
          <w:rFonts w:cs="Arial"/>
          <w:color w:val="000000"/>
          <w:szCs w:val="20"/>
          <w:lang w:eastAsia="en-US"/>
        </w:rPr>
      </w:pPr>
      <w:r>
        <w:rPr>
          <w:rFonts w:cs="Arial"/>
          <w:b/>
          <w:bCs/>
          <w:color w:val="000000"/>
          <w:szCs w:val="20"/>
          <w:lang w:eastAsia="en-US"/>
        </w:rPr>
        <w:t>4.8.1.</w:t>
      </w:r>
      <w:r>
        <w:rPr>
          <w:rFonts w:cs="Arial"/>
          <w:color w:val="000000"/>
          <w:szCs w:val="20"/>
          <w:lang w:eastAsia="en-US"/>
        </w:rPr>
        <w:t xml:space="preserve"> </w:t>
      </w:r>
      <w:r>
        <w:rPr>
          <w:rFonts w:cs="Arial"/>
          <w:color w:val="000000"/>
          <w:szCs w:val="20"/>
          <w:lang w:eastAsia="en-US"/>
        </w:rPr>
        <w:t>Na hipótese de a verificação a que se refere o subitem anterior não ser procedida dentro do prazo fixado, reputar-se-á como realizada, consumando-se o recebimento definitivo no dia do esgotamento do prazo.</w:t>
      </w:r>
    </w:p>
    <w:p>
      <w:pPr>
        <w:pStyle w:val="Normal"/>
        <w:widowControl/>
        <w:numPr>
          <w:ilvl w:val="0"/>
          <w:numId w:val="0"/>
        </w:numPr>
        <w:suppressAutoHyphens w:val="true"/>
        <w:overflowPunct w:val="true"/>
        <w:bidi w:val="0"/>
        <w:spacing w:lineRule="auto" w:line="276" w:before="120" w:after="120"/>
        <w:ind w:left="283" w:right="0" w:hanging="0"/>
        <w:jc w:val="both"/>
        <w:rPr>
          <w:rFonts w:cs="Arial"/>
          <w:color w:val="000000"/>
          <w:szCs w:val="20"/>
          <w:lang w:eastAsia="en-US"/>
        </w:rPr>
      </w:pPr>
      <w:r>
        <w:rPr>
          <w:rFonts w:cs="Arial"/>
          <w:b/>
          <w:bCs/>
          <w:color w:val="000000"/>
          <w:szCs w:val="20"/>
          <w:lang w:eastAsia="en-US"/>
        </w:rPr>
        <w:t>4.9.</w:t>
      </w:r>
      <w:r>
        <w:rPr>
          <w:rFonts w:cs="Arial"/>
          <w:color w:val="000000"/>
          <w:szCs w:val="20"/>
          <w:lang w:eastAsia="en-US"/>
        </w:rPr>
        <w:t xml:space="preserve"> </w:t>
      </w:r>
      <w:r>
        <w:rPr>
          <w:rFonts w:cs="Arial"/>
          <w:color w:val="000000"/>
          <w:szCs w:val="20"/>
          <w:lang w:eastAsia="en-US"/>
        </w:rPr>
        <w:t>O recebimento provisório ou definitivo do objeto não exclui a responsabilidade da contratada pelos prejuízos resultantes da incorreta execução do contrato.</w:t>
      </w:r>
    </w:p>
    <w:p>
      <w:pPr>
        <w:pStyle w:val="Nivel1"/>
        <w:numPr>
          <w:ilvl w:val="0"/>
          <w:numId w:val="1"/>
        </w:numPr>
        <w:rPr>
          <w:lang w:eastAsia="en-US"/>
        </w:rPr>
      </w:pPr>
      <w:r>
        <w:rPr>
          <w:lang w:eastAsia="en-US"/>
        </w:rPr>
        <w:t>OBRIGAÇÕES DA CONTRATANTE</w:t>
      </w:r>
    </w:p>
    <w:p>
      <w:pPr>
        <w:pStyle w:val="Normal"/>
        <w:numPr>
          <w:ilvl w:val="1"/>
          <w:numId w:val="1"/>
        </w:numPr>
        <w:spacing w:lineRule="auto" w:line="276" w:before="120" w:after="120"/>
        <w:ind w:left="716" w:right="0" w:hanging="432"/>
        <w:jc w:val="both"/>
        <w:rPr>
          <w:rFonts w:cs="Arial"/>
          <w:szCs w:val="20"/>
        </w:rPr>
      </w:pPr>
      <w:r>
        <w:rPr>
          <w:rFonts w:cs="Arial"/>
          <w:szCs w:val="20"/>
        </w:rPr>
        <w:t>São obrigações da Contratante:</w:t>
      </w:r>
    </w:p>
    <w:p>
      <w:pPr>
        <w:pStyle w:val="Normal"/>
        <w:widowControl/>
        <w:numPr>
          <w:ilvl w:val="2"/>
          <w:numId w:val="1"/>
        </w:numPr>
        <w:suppressAutoHyphens w:val="true"/>
        <w:overflowPunct w:val="true"/>
        <w:bidi w:val="0"/>
        <w:spacing w:lineRule="auto" w:line="276" w:before="120" w:after="120"/>
        <w:ind w:left="964" w:right="0" w:hanging="57"/>
        <w:jc w:val="both"/>
        <w:rPr>
          <w:rFonts w:cs="Arial"/>
          <w:szCs w:val="20"/>
        </w:rPr>
      </w:pPr>
      <w:r>
        <w:rPr>
          <w:rFonts w:cs="Arial"/>
          <w:szCs w:val="20"/>
        </w:rPr>
        <w:t>receber o objeto no prazo e condições estabelecidas no Edital e seus anexos;</w:t>
      </w:r>
    </w:p>
    <w:p>
      <w:pPr>
        <w:pStyle w:val="Normal"/>
        <w:widowControl/>
        <w:numPr>
          <w:ilvl w:val="2"/>
          <w:numId w:val="1"/>
        </w:numPr>
        <w:suppressAutoHyphens w:val="true"/>
        <w:overflowPunct w:val="true"/>
        <w:bidi w:val="0"/>
        <w:spacing w:lineRule="auto" w:line="276" w:before="120" w:after="120"/>
        <w:ind w:left="907" w:right="0" w:hanging="57"/>
        <w:jc w:val="both"/>
        <w:rPr>
          <w:rFonts w:cs="Arial"/>
          <w:szCs w:val="20"/>
          <w:lang w:eastAsia="en-US"/>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widowControl/>
        <w:numPr>
          <w:ilvl w:val="2"/>
          <w:numId w:val="1"/>
        </w:numPr>
        <w:suppressAutoHyphens w:val="true"/>
        <w:overflowPunct w:val="true"/>
        <w:bidi w:val="0"/>
        <w:spacing w:lineRule="auto" w:line="276" w:before="120" w:after="120"/>
        <w:ind w:left="850" w:right="0" w:hanging="57"/>
        <w:jc w:val="both"/>
        <w:rPr>
          <w:rFonts w:cs="Arial"/>
          <w:szCs w:val="20"/>
        </w:rPr>
      </w:pPr>
      <w:r>
        <w:rPr>
          <w:rFonts w:cs="Arial"/>
          <w:szCs w:val="20"/>
        </w:rPr>
        <w:t>comunicar à Contratada, por escrito, sobre imperfeições, falhas ou irregularidades verificadas no objeto fornecido, para que seja substituído, reparado ou corrigido;</w:t>
      </w:r>
    </w:p>
    <w:p>
      <w:pPr>
        <w:pStyle w:val="Normal"/>
        <w:widowControl/>
        <w:numPr>
          <w:ilvl w:val="2"/>
          <w:numId w:val="1"/>
        </w:numPr>
        <w:suppressAutoHyphens w:val="true"/>
        <w:overflowPunct w:val="true"/>
        <w:bidi w:val="0"/>
        <w:spacing w:lineRule="auto" w:line="276" w:before="120" w:after="120"/>
        <w:ind w:left="794" w:right="0" w:firstLine="57"/>
        <w:jc w:val="both"/>
        <w:rPr>
          <w:rFonts w:cs="Arial"/>
          <w:szCs w:val="20"/>
          <w:lang w:eastAsia="en-US"/>
        </w:rPr>
      </w:pPr>
      <w:r>
        <w:rPr>
          <w:rFonts w:cs="Arial"/>
          <w:szCs w:val="20"/>
          <w:lang w:eastAsia="en-US"/>
        </w:rPr>
        <w:t>acompanhar e fiscalizar o cumprimento das obrigações da Contratada, através de comissão/servidor especialmente designado;</w:t>
      </w:r>
    </w:p>
    <w:p>
      <w:pPr>
        <w:pStyle w:val="Normal"/>
        <w:widowControl/>
        <w:numPr>
          <w:ilvl w:val="2"/>
          <w:numId w:val="1"/>
        </w:numPr>
        <w:suppressAutoHyphens w:val="true"/>
        <w:overflowPunct w:val="true"/>
        <w:bidi w:val="0"/>
        <w:spacing w:lineRule="auto" w:line="276" w:before="120" w:after="120"/>
        <w:ind w:left="850" w:right="0" w:hanging="57"/>
        <w:jc w:val="both"/>
        <w:rPr>
          <w:rFonts w:cs="Arial"/>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716" w:right="0" w:hanging="432"/>
        <w:jc w:val="both"/>
        <w:rPr>
          <w:rFonts w:cs="Arial"/>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1"/>
        </w:numPr>
        <w:rPr/>
      </w:pPr>
      <w:r>
        <w:rPr/>
        <w:t>OBRIGAÇÕES DA CONTRATADA</w:t>
      </w:r>
    </w:p>
    <w:p>
      <w:pPr>
        <w:pStyle w:val="Normal"/>
        <w:numPr>
          <w:ilvl w:val="1"/>
          <w:numId w:val="1"/>
        </w:numPr>
        <w:spacing w:lineRule="auto" w:line="276" w:before="120" w:after="120"/>
        <w:ind w:left="716" w:right="0" w:hanging="432"/>
        <w:jc w:val="both"/>
        <w:rPr>
          <w:rFonts w:cs="Arial"/>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widowControl/>
        <w:numPr>
          <w:ilvl w:val="2"/>
          <w:numId w:val="1"/>
        </w:numPr>
        <w:suppressAutoHyphens w:val="true"/>
        <w:overflowPunct w:val="true"/>
        <w:bidi w:val="0"/>
        <w:spacing w:lineRule="auto" w:line="276" w:before="120" w:after="120"/>
        <w:ind w:left="794" w:right="0" w:hanging="57"/>
        <w:jc w:val="both"/>
        <w:rPr>
          <w:rFonts w:cs="Arial"/>
          <w:i w:val="false"/>
          <w:i w:val="false"/>
          <w:iCs w:val="false"/>
          <w:color w:val="000000"/>
          <w:szCs w:val="20"/>
        </w:rPr>
      </w:pPr>
      <w:r>
        <w:rPr>
          <w:rFonts w:cs="Arial"/>
          <w:szCs w:val="20"/>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i w:val="false"/>
          <w:iCs w:val="false"/>
          <w:color w:val="000000"/>
          <w:szCs w:val="20"/>
        </w:rPr>
        <w:t xml:space="preserve">marca, fabricante, modelo, procedência e prazo de garantia ou validade. </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szCs w:val="20"/>
        </w:rPr>
        <w:t>substituir, reparar ou corrigir, às suas expensas, no prazo fixado neste Termo de Referência, o objeto com avarias ou defeitos;</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widowControl/>
        <w:numPr>
          <w:ilvl w:val="2"/>
          <w:numId w:val="1"/>
        </w:numPr>
        <w:suppressAutoHyphens w:val="true"/>
        <w:overflowPunct w:val="true"/>
        <w:bidi w:val="0"/>
        <w:spacing w:lineRule="auto" w:line="276" w:before="120" w:after="120"/>
        <w:ind w:left="737" w:right="0" w:hanging="57"/>
        <w:jc w:val="both"/>
        <w:rPr>
          <w:rFonts w:cs="Arial"/>
          <w:szCs w:val="20"/>
        </w:rPr>
      </w:pPr>
      <w:r>
        <w:rPr>
          <w:rFonts w:cs="Arial"/>
          <w:szCs w:val="20"/>
        </w:rPr>
        <w:t>indicar preposto para representá-la durante a execução do contrato.</w:t>
      </w:r>
    </w:p>
    <w:p>
      <w:pPr>
        <w:pStyle w:val="Nivel1"/>
        <w:numPr>
          <w:ilvl w:val="0"/>
          <w:numId w:val="1"/>
        </w:numPr>
        <w:rPr/>
      </w:pPr>
      <w:r>
        <w:rPr/>
        <w:t>DA SUBCONTRATAÇÃO</w:t>
      </w:r>
    </w:p>
    <w:p>
      <w:pPr>
        <w:pStyle w:val="Normal"/>
        <w:spacing w:lineRule="auto" w:line="276" w:before="120" w:after="120"/>
        <w:ind w:left="425" w:right="0" w:hanging="0"/>
        <w:jc w:val="both"/>
        <w:rPr>
          <w:rFonts w:cs="Arial"/>
          <w:i w:val="false"/>
          <w:i w:val="false"/>
          <w:iCs w:val="false"/>
          <w:color w:val="000000"/>
          <w:szCs w:val="20"/>
        </w:rPr>
      </w:pPr>
      <w:r>
        <w:rPr>
          <w:rFonts w:cs="Arial"/>
          <w:i w:val="false"/>
          <w:iCs w:val="false"/>
          <w:color w:val="000000"/>
          <w:szCs w:val="20"/>
        </w:rPr>
        <w:t>7.1 Não será admitida a subcontratação do objeto licitatório.</w:t>
      </w:r>
    </w:p>
    <w:p>
      <w:pPr>
        <w:pStyle w:val="Nivel1"/>
        <w:numPr>
          <w:ilvl w:val="0"/>
          <w:numId w:val="1"/>
        </w:numPr>
        <w:rPr>
          <w:lang w:eastAsia="en-US"/>
        </w:rPr>
      </w:pPr>
      <w:r>
        <w:rPr>
          <w:lang w:eastAsia="en-US"/>
        </w:rPr>
        <w:t>DA ALTERAÇÃO SUBJETIVA</w:t>
      </w:r>
    </w:p>
    <w:p>
      <w:pPr>
        <w:pStyle w:val="Normal"/>
        <w:numPr>
          <w:ilvl w:val="1"/>
          <w:numId w:val="1"/>
        </w:numPr>
        <w:spacing w:lineRule="auto" w:line="276" w:before="120" w:after="120"/>
        <w:ind w:left="716" w:right="0" w:hanging="432"/>
        <w:jc w:val="both"/>
        <w:rPr>
          <w:rFonts w:cs="Arial"/>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lang w:eastAsia="en-US"/>
        </w:rPr>
      </w:pPr>
      <w:r>
        <w:rPr>
          <w:lang w:eastAsia="en-US"/>
        </w:rPr>
        <w:t xml:space="preserve">DO CONTROLE </w:t>
      </w:r>
      <w:r>
        <w:rPr>
          <w:color w:val="00000A"/>
          <w:lang w:eastAsia="en-US"/>
        </w:rPr>
        <w:t xml:space="preserve">E FISCALIZAÇÃO DA </w:t>
      </w:r>
      <w:r>
        <w:rPr>
          <w:lang w:eastAsia="en-US"/>
        </w:rPr>
        <w:t>EXECUÇÃO</w:t>
      </w:r>
    </w:p>
    <w:p>
      <w:pPr>
        <w:pStyle w:val="Normal"/>
        <w:numPr>
          <w:ilvl w:val="1"/>
          <w:numId w:val="1"/>
        </w:numPr>
        <w:spacing w:lineRule="auto" w:line="276" w:before="120" w:after="120"/>
        <w:ind w:left="716" w:right="0" w:hanging="432"/>
        <w:jc w:val="both"/>
        <w:rPr>
          <w:rFonts w:cs="Arial"/>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widowControl/>
        <w:numPr>
          <w:ilvl w:val="2"/>
          <w:numId w:val="1"/>
        </w:numPr>
        <w:suppressAutoHyphens w:val="true"/>
        <w:overflowPunct w:val="true"/>
        <w:bidi w:val="0"/>
        <w:spacing w:lineRule="auto" w:line="276" w:before="120" w:after="120"/>
        <w:ind w:left="680" w:right="0" w:hanging="0"/>
        <w:jc w:val="both"/>
        <w:rPr>
          <w:rFonts w:cs="Arial"/>
          <w:color w:val="000000"/>
          <w:szCs w:val="20"/>
          <w:lang w:eastAsia="en-US"/>
        </w:rPr>
      </w:pPr>
      <w:r>
        <w:rPr>
          <w:rFonts w:cs="Arial"/>
          <w:color w:val="000000"/>
          <w:szCs w:val="20"/>
          <w:lang w:eastAsia="en-US"/>
        </w:rPr>
        <w:t>O recebimento de material de valor superior a R$ 176.000,00 (cento e setenta e seis mil reais) será confiado a uma comissão de, no mínimo, 3 (três) membros, designados pela autoridade competente.</w:t>
      </w:r>
    </w:p>
    <w:p>
      <w:pPr>
        <w:pStyle w:val="Normal"/>
        <w:numPr>
          <w:ilvl w:val="1"/>
          <w:numId w:val="1"/>
        </w:numPr>
        <w:spacing w:lineRule="auto" w:line="276" w:before="120" w:after="120"/>
        <w:ind w:left="716" w:right="0" w:hanging="432"/>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716" w:right="0" w:hanging="432"/>
        <w:jc w:val="both"/>
        <w:rPr>
          <w:rFonts w:cs="Arial"/>
          <w:color w:val="000000"/>
          <w:szCs w:val="20"/>
          <w:lang w:eastAsia="en-US"/>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pPr>
      <w:r>
        <w:rPr/>
        <w:t>DO PAGAMENTO</w:t>
      </w:r>
    </w:p>
    <w:p>
      <w:pPr>
        <w:pStyle w:val="Normal"/>
        <w:spacing w:lineRule="auto" w:line="276" w:before="120" w:after="120"/>
        <w:ind w:left="425" w:right="0" w:hanging="0"/>
        <w:jc w:val="both"/>
        <w:rPr>
          <w:rFonts w:cs="Arial"/>
          <w:color w:val="000000"/>
          <w:szCs w:val="20"/>
          <w:lang w:eastAsia="en-US"/>
        </w:rPr>
      </w:pPr>
      <w:r>
        <w:rPr>
          <w:rFonts w:cs="Arial"/>
          <w:color w:val="000000"/>
          <w:szCs w:val="20"/>
          <w:lang w:eastAsia="en-US"/>
        </w:rPr>
      </w:r>
    </w:p>
    <w:p>
      <w:pPr>
        <w:pStyle w:val="ListParagraph"/>
        <w:numPr>
          <w:ilvl w:val="1"/>
          <w:numId w:val="1"/>
        </w:numPr>
        <w:spacing w:lineRule="auto" w:line="276" w:before="120" w:after="120"/>
        <w:contextualSpacing/>
        <w:jc w:val="both"/>
        <w:rPr>
          <w:rFonts w:cs="Arial"/>
          <w:color w:val="000000"/>
          <w:szCs w:val="20"/>
          <w:lang w:eastAsia="en-US"/>
        </w:rPr>
      </w:pPr>
      <w:r>
        <w:rPr>
          <w:rFonts w:cs="Arial"/>
          <w:color w:val="000000"/>
          <w:szCs w:val="20"/>
          <w:lang w:eastAsia="en-US"/>
        </w:rPr>
        <w:t xml:space="preserve">O pagamento será realizado no prazo máximo de até 30 (trinta) 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widowControl/>
        <w:numPr>
          <w:ilvl w:val="2"/>
          <w:numId w:val="1"/>
        </w:numPr>
        <w:suppressAutoHyphens w:val="true"/>
        <w:overflowPunct w:val="true"/>
        <w:bidi w:val="0"/>
        <w:spacing w:lineRule="auto" w:line="276" w:before="120" w:after="120"/>
        <w:ind w:left="907" w:right="0" w:hanging="0"/>
        <w:contextualSpacing/>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ListParagraph"/>
        <w:numPr>
          <w:ilvl w:val="1"/>
          <w:numId w:val="1"/>
        </w:numPr>
        <w:spacing w:lineRule="auto" w:line="276" w:before="120" w:after="120"/>
        <w:contextualSpacing/>
        <w:jc w:val="both"/>
        <w:rPr>
          <w:rFonts w:cs="Arial"/>
          <w:color w:val="000000"/>
          <w:szCs w:val="20"/>
        </w:rPr>
      </w:pPr>
      <w:r>
        <w:rPr>
          <w:rFonts w:cs="Arial"/>
          <w:color w:val="000000"/>
          <w:szCs w:val="20"/>
        </w:rPr>
        <w:t>Considera-se ocorrido o recebimento da nota fiscal ou fatura no momento em que o órgão contratante atestar a execução do objeto do contrato.</w:t>
      </w:r>
    </w:p>
    <w:p>
      <w:pPr>
        <w:pStyle w:val="Normal"/>
        <w:numPr>
          <w:ilvl w:val="1"/>
          <w:numId w:val="1"/>
        </w:numPr>
        <w:spacing w:lineRule="auto" w:line="276" w:before="120" w:after="12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Normal"/>
        <w:widowControl/>
        <w:numPr>
          <w:ilvl w:val="2"/>
          <w:numId w:val="1"/>
        </w:numPr>
        <w:suppressAutoHyphens w:val="true"/>
        <w:overflowPunct w:val="true"/>
        <w:bidi w:val="0"/>
        <w:spacing w:lineRule="auto" w:line="276" w:before="120" w:after="120"/>
        <w:ind w:left="907" w:right="0" w:firstLine="57"/>
        <w:jc w:val="both"/>
        <w:rPr>
          <w:color w:val="000000"/>
        </w:rPr>
      </w:pPr>
      <w:r>
        <w:rPr>
          <w:color w:val="000000"/>
        </w:rPr>
        <w:t xml:space="preserve">Constatando-se, junto ao SICAF, a situação de irregularidade do fornecedor contratado, deverão ser tomadas as providências previstas no do art. 31 da Instrução </w:t>
      </w:r>
      <w:r>
        <w:rPr>
          <w:rFonts w:cs="Arial"/>
          <w:color w:val="000000"/>
          <w:lang w:eastAsia="en-US"/>
        </w:rPr>
        <w:t>Normativa</w:t>
      </w:r>
      <w:r>
        <w:rPr>
          <w:color w:val="000000"/>
        </w:rPr>
        <w:t xml:space="preserve"> nº 3, de 26 de abril de 2018.</w:t>
      </w:r>
    </w:p>
    <w:p>
      <w:pPr>
        <w:pStyle w:val="ListParagraph"/>
        <w:numPr>
          <w:ilvl w:val="1"/>
          <w:numId w:val="1"/>
        </w:numPr>
        <w:spacing w:lineRule="auto" w:line="276" w:before="120" w:after="120"/>
        <w:ind w:left="716" w:right="0" w:hanging="432"/>
        <w:contextualSpacing/>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right="0" w:hanging="0"/>
        <w:contextualSpacing/>
        <w:jc w:val="both"/>
        <w:rPr>
          <w:rFonts w:cs="Arial"/>
          <w:szCs w:val="20"/>
          <w:lang w:eastAsia="en-US"/>
        </w:rPr>
      </w:pPr>
      <w:r>
        <w:rPr>
          <w:rFonts w:cs="Arial"/>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contextualSpacing/>
        <w:jc w:val="both"/>
        <w:rPr>
          <w:rFonts w:cs="Arial"/>
          <w:color w:val="000000"/>
          <w:szCs w:val="20"/>
        </w:rPr>
      </w:pPr>
      <w:r>
        <w:rPr>
          <w:rFonts w:cs="Arial"/>
          <w:color w:val="000000"/>
          <w:szCs w:val="20"/>
        </w:rPr>
        <w:t>Quando do pagamento, será efetuada a retenção tributária prevista na legislação aplicável.</w:t>
      </w:r>
    </w:p>
    <w:p>
      <w:pPr>
        <w:pStyle w:val="Normal"/>
        <w:widowControl/>
        <w:numPr>
          <w:ilvl w:val="2"/>
          <w:numId w:val="1"/>
        </w:numPr>
        <w:tabs>
          <w:tab w:val="left" w:pos="1440" w:leader="none"/>
        </w:tabs>
        <w:suppressAutoHyphens w:val="true"/>
        <w:overflowPunct w:val="true"/>
        <w:bidi w:val="0"/>
        <w:spacing w:lineRule="auto" w:line="276" w:before="120" w:after="120"/>
        <w:ind w:left="850" w:right="0" w:hanging="57"/>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lineRule="auto" w:line="276" w:before="120" w:after="120"/>
        <w:jc w:val="both"/>
        <w:rPr>
          <w:rFonts w:cs="Arial"/>
          <w:szCs w:val="20"/>
          <w:lang w:eastAsia="en-US"/>
        </w:rPr>
      </w:pPr>
      <w:r>
        <w:rPr>
          <w:rFonts w:cs="Arial"/>
          <w:szCs w:val="20"/>
          <w:lang w:eastAsia="en-US"/>
        </w:rPr>
        <w:t xml:space="preserve">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EM = I x N x VP, sendo:</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EM = Encargos moratórios;</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VP = Valor da parcela a ser paga.</w:t>
      </w:r>
    </w:p>
    <w:p>
      <w:pPr>
        <w:pStyle w:val="Normal"/>
        <w:tabs>
          <w:tab w:val="left" w:pos="1701" w:leader="none"/>
        </w:tabs>
        <w:spacing w:lineRule="auto" w:line="276" w:before="120" w:after="120"/>
        <w:ind w:left="425" w:right="0" w:hanging="0"/>
        <w:jc w:val="both"/>
        <w:rPr>
          <w:rFonts w:cs="Arial"/>
          <w:color w:val="000000"/>
          <w:szCs w:val="20"/>
        </w:rPr>
      </w:pPr>
      <w:r>
        <w:rPr>
          <w:rFonts w:cs="Arial"/>
          <w:color w:val="000000"/>
          <w:szCs w:val="20"/>
        </w:rPr>
        <w:t>I = Índice de compensação financeira = 0,00016438, assim apurado:</w:t>
      </w:r>
    </w:p>
    <w:tbl>
      <w:tblPr>
        <w:tblW w:w="8646" w:type="dxa"/>
        <w:jc w:val="left"/>
        <w:tblInd w:w="425" w:type="dxa"/>
        <w:tblBorders/>
        <w:tblCellMar>
          <w:top w:w="0" w:type="dxa"/>
          <w:left w:w="123" w:type="dxa"/>
          <w:bottom w:w="0" w:type="dxa"/>
          <w:right w:w="108" w:type="dxa"/>
        </w:tblCellMar>
      </w:tblPr>
      <w:tblGrid>
        <w:gridCol w:w="2147"/>
        <w:gridCol w:w="579"/>
        <w:gridCol w:w="1247"/>
        <w:gridCol w:w="4672"/>
      </w:tblGrid>
      <w:tr>
        <w:trPr/>
        <w:tc>
          <w:tcPr>
            <w:tcW w:w="2147" w:type="dxa"/>
            <w:tcBorders/>
            <w:shd w:fill="FFFFFF" w:val="clear"/>
            <w:vAlign w:val="center"/>
          </w:tcPr>
          <w:p>
            <w:pPr>
              <w:pStyle w:val="Normal"/>
              <w:tabs>
                <w:tab w:val="left" w:pos="1701" w:leader="none"/>
              </w:tabs>
              <w:jc w:val="center"/>
              <w:rPr>
                <w:rFonts w:eastAsia="ＭＳ 明朝" w:cs="Arial"/>
                <w:color w:val="000000"/>
                <w:szCs w:val="20"/>
                <w:lang w:eastAsia="en-US"/>
              </w:rPr>
            </w:pPr>
            <w:r>
              <w:rPr>
                <w:rFonts w:eastAsia="ＭＳ 明朝" w:cs="Arial"/>
                <w:color w:val="000000"/>
                <w:szCs w:val="20"/>
                <w:lang w:eastAsia="en-US"/>
              </w:rPr>
              <w:t>I = (TX)</w:t>
            </w:r>
          </w:p>
        </w:tc>
        <w:tc>
          <w:tcPr>
            <w:tcW w:w="579" w:type="dxa"/>
            <w:tcBorders/>
            <w:shd w:fill="FFFFFF" w:val="clear"/>
            <w:vAlign w:val="center"/>
          </w:tcPr>
          <w:p>
            <w:pPr>
              <w:pStyle w:val="Normal"/>
              <w:tabs>
                <w:tab w:val="left" w:pos="1701" w:leader="none"/>
              </w:tabs>
              <w:rPr>
                <w:rFonts w:eastAsia="ＭＳ 明朝" w:cs="Arial"/>
                <w:color w:val="000000"/>
                <w:szCs w:val="20"/>
                <w:lang w:eastAsia="en-US"/>
              </w:rPr>
            </w:pPr>
            <w:r>
              <w:rPr>
                <w:rFonts w:eastAsia="ＭＳ 明朝" w:cs="Arial"/>
                <w:color w:val="000000"/>
                <w:szCs w:val="20"/>
                <w:lang w:eastAsia="en-US"/>
              </w:rPr>
              <w:t xml:space="preserve">I = </w:t>
            </w:r>
          </w:p>
        </w:tc>
        <w:tc>
          <w:tcPr>
            <w:tcW w:w="1247" w:type="dxa"/>
            <w:tcBorders>
              <w:top w:val="single" w:sz="4" w:space="0" w:color="00000A"/>
              <w:bottom w:val="single" w:sz="4" w:space="0" w:color="00000A"/>
              <w:insideH w:val="single" w:sz="4" w:space="0" w:color="00000A"/>
            </w:tcBorders>
            <w:shd w:fill="FFFFFF" w:val="clear"/>
          </w:tcPr>
          <w:p>
            <w:pPr>
              <w:pStyle w:val="Normal"/>
              <w:tabs>
                <w:tab w:val="left" w:pos="1701" w:leader="none"/>
              </w:tabs>
              <w:jc w:val="center"/>
              <w:rPr>
                <w:rFonts w:eastAsia="ＭＳ 明朝" w:cs="Arial"/>
                <w:color w:val="000000"/>
                <w:szCs w:val="20"/>
                <w:lang w:eastAsia="en-US"/>
              </w:rPr>
            </w:pPr>
            <w:r>
              <w:rPr>
                <w:rFonts w:eastAsia="ＭＳ 明朝" w:cs="Arial"/>
                <w:color w:val="000000"/>
                <w:szCs w:val="20"/>
                <w:lang w:eastAsia="en-US"/>
              </w:rPr>
              <w:t>( 6 / 100 )</w:t>
            </w:r>
          </w:p>
        </w:tc>
        <w:tc>
          <w:tcPr>
            <w:tcW w:w="4672" w:type="dxa"/>
            <w:tcBorders/>
            <w:shd w:fill="FFFFFF" w:val="clear"/>
            <w:vAlign w:val="center"/>
          </w:tcPr>
          <w:p>
            <w:pPr>
              <w:pStyle w:val="Normal"/>
              <w:tabs>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I = 0,00016438</w:t>
            </w:r>
          </w:p>
          <w:p>
            <w:pPr>
              <w:pStyle w:val="Normal"/>
              <w:tabs>
                <w:tab w:val="left" w:pos="1701" w:leader="none"/>
              </w:tabs>
              <w:ind w:left="742" w:right="0" w:hanging="0"/>
              <w:rPr>
                <w:rFonts w:eastAsia="ＭＳ 明朝" w:cs="Arial"/>
                <w:color w:val="000000"/>
                <w:szCs w:val="20"/>
                <w:lang w:eastAsia="en-US"/>
              </w:rPr>
            </w:pPr>
            <w:r>
              <w:rPr>
                <w:rFonts w:eastAsia="ＭＳ 明朝" w:cs="Arial"/>
                <w:color w:val="000000"/>
                <w:szCs w:val="20"/>
                <w:lang w:eastAsia="en-US"/>
              </w:rPr>
              <w:t>TX = Percentual da taxa anual = 6%</w:t>
            </w:r>
          </w:p>
        </w:tc>
      </w:tr>
    </w:tbl>
    <w:p>
      <w:pPr>
        <w:pStyle w:val="Normal"/>
        <w:rPr/>
      </w:pPr>
      <w:r>
        <w:rPr/>
        <w:t xml:space="preserve">                                                            </w:t>
      </w:r>
      <w:r>
        <w:rPr/>
        <w:t>365</w:t>
      </w:r>
    </w:p>
    <w:p>
      <w:pPr>
        <w:pStyle w:val="Normal"/>
        <w:rPr/>
      </w:pPr>
      <w:r>
        <w:rPr/>
      </w:r>
    </w:p>
    <w:p>
      <w:pPr>
        <w:pStyle w:val="Nivel1"/>
        <w:numPr>
          <w:ilvl w:val="0"/>
          <w:numId w:val="1"/>
        </w:numPr>
        <w:rPr/>
      </w:pPr>
      <w:r>
        <w:rPr/>
        <w:t xml:space="preserve">DO REAJUSTE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Os preços são fixos e irreajustáveis no prazo de um ano contado da data limite para a apresentação das propostas.</w:t>
      </w:r>
    </w:p>
    <w:p>
      <w:pPr>
        <w:pStyle w:val="ListParagraph"/>
        <w:numPr>
          <w:ilvl w:val="2"/>
          <w:numId w:val="1"/>
        </w:numPr>
        <w:spacing w:lineRule="auto" w:line="276" w:before="120" w:after="120"/>
        <w:ind w:left="930" w:right="0" w:hanging="504"/>
        <w:contextualSpacing/>
        <w:jc w:val="both"/>
        <w:rPr>
          <w:rFonts w:cs="Arial"/>
          <w:color w:val="000000"/>
          <w:szCs w:val="20"/>
        </w:rPr>
      </w:pPr>
      <w:r>
        <w:rPr>
          <w:rFonts w:cs="Arial"/>
          <w:szCs w:val="20"/>
        </w:rPr>
        <w:t xml:space="preserve">Dentro do prazo de vigência do contrato e mediante solicitação da contratada, os preços contratados poderão sofrer reajuste após o interregno de um ano, aplicando-se o índice </w:t>
      </w:r>
      <w:r>
        <w:rPr>
          <w:rFonts w:cs="Arial"/>
          <w:color w:val="000000"/>
          <w:szCs w:val="20"/>
        </w:rPr>
        <w:t xml:space="preserve">IPCA/IBGE </w:t>
      </w:r>
      <w:r>
        <w:rPr>
          <w:rFonts w:cs="Arial"/>
          <w:szCs w:val="20"/>
        </w:rPr>
        <w:t>exclusivamente para as obrigações iniciadas e concluídas após a ocorrência da anualidade</w:t>
      </w:r>
      <w:r>
        <w:rPr>
          <w:rFonts w:cs="Arial"/>
          <w:color w:val="000000"/>
          <w:szCs w:val="20"/>
        </w:rPr>
        <w:t>.</w:t>
      </w:r>
    </w:p>
    <w:p>
      <w:pPr>
        <w:pStyle w:val="ListParagraph"/>
        <w:spacing w:lineRule="auto" w:line="276" w:before="120" w:after="120"/>
        <w:ind w:left="1134" w:right="0" w:hanging="0"/>
        <w:contextualSpacing/>
        <w:jc w:val="both"/>
        <w:rPr>
          <w:rFonts w:cs="Arial"/>
          <w:color w:val="000000"/>
          <w:szCs w:val="20"/>
        </w:rPr>
      </w:pPr>
      <w:r>
        <w:rPr>
          <w:rFonts w:cs="Arial"/>
          <w:color w:val="000000"/>
          <w:szCs w:val="20"/>
        </w:rPr>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Nos reajustes subsequentes ao primeiro, o interregno mínimo de um ano será contado a partir dos efeitos financeiros do último reajuste.</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Nas aferições finais, o índice utilizado para reajuste será, obrigatoriamente, o definitivo.</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1"/>
          <w:numId w:val="1"/>
        </w:numPr>
        <w:spacing w:lineRule="auto" w:line="276" w:before="120" w:after="120"/>
        <w:ind w:left="716" w:right="0" w:hanging="432"/>
        <w:contextualSpacing/>
        <w:jc w:val="both"/>
        <w:rPr>
          <w:rFonts w:cs="Arial"/>
          <w:color w:val="000000"/>
          <w:szCs w:val="20"/>
        </w:rPr>
      </w:pPr>
      <w:r>
        <w:rPr>
          <w:rFonts w:cs="Arial"/>
          <w:color w:val="000000"/>
          <w:szCs w:val="20"/>
        </w:rPr>
        <w:t xml:space="preserve">Na ausência de previsão legal quanto ao índice substituto, as partes elegerão novo índice oficial, para reajustamento do preço do valor remanescente, por meio de termo aditivo. </w:t>
      </w:r>
    </w:p>
    <w:p>
      <w:pPr>
        <w:pStyle w:val="ListParagraph"/>
        <w:numPr>
          <w:ilvl w:val="1"/>
          <w:numId w:val="1"/>
        </w:numPr>
        <w:spacing w:lineRule="auto" w:line="276" w:before="0" w:after="120"/>
        <w:ind w:left="716" w:right="0" w:hanging="432"/>
        <w:contextualSpacing/>
        <w:jc w:val="both"/>
        <w:rPr>
          <w:rFonts w:cs="Arial"/>
          <w:color w:val="000000"/>
          <w:szCs w:val="20"/>
        </w:rPr>
      </w:pPr>
      <w:r>
        <w:rPr>
          <w:rFonts w:cs="Arial"/>
          <w:color w:val="000000"/>
          <w:szCs w:val="20"/>
        </w:rPr>
        <w:t>O reajuste será realizado por apostilamento.</w:t>
      </w:r>
    </w:p>
    <w:p>
      <w:pPr>
        <w:pStyle w:val="Normal"/>
        <w:spacing w:lineRule="auto" w:line="276" w:before="0" w:after="120"/>
        <w:ind w:left="425" w:right="0" w:hanging="0"/>
        <w:jc w:val="both"/>
        <w:rPr>
          <w:rFonts w:cs="Arial"/>
          <w:color w:val="000000"/>
          <w:szCs w:val="20"/>
        </w:rPr>
      </w:pPr>
      <w:r>
        <w:rPr>
          <w:rFonts w:cs="Arial"/>
          <w:color w:val="000000"/>
          <w:szCs w:val="20"/>
        </w:rPr>
      </w:r>
    </w:p>
    <w:p>
      <w:pPr>
        <w:pStyle w:val="Nivel1"/>
        <w:numPr>
          <w:ilvl w:val="0"/>
          <w:numId w:val="1"/>
        </w:numPr>
        <w:spacing w:before="0" w:after="120"/>
        <w:rPr/>
      </w:pPr>
      <w:r>
        <w:rPr/>
        <w:t>DA GARANTIA DE EXECUÇÃO</w:t>
      </w:r>
    </w:p>
    <w:p>
      <w:pPr>
        <w:pStyle w:val="Normal"/>
        <w:widowControl/>
        <w:suppressAutoHyphens w:val="true"/>
        <w:overflowPunct w:val="true"/>
        <w:bidi w:val="0"/>
        <w:spacing w:lineRule="auto" w:line="276" w:before="120" w:after="120"/>
        <w:ind w:left="340" w:right="0" w:hanging="0"/>
        <w:jc w:val="both"/>
        <w:rPr>
          <w:rFonts w:cs="Arial"/>
          <w:i w:val="false"/>
          <w:i w:val="false"/>
          <w:iCs w:val="false"/>
          <w:color w:val="000000"/>
        </w:rPr>
      </w:pPr>
      <w:r>
        <w:rPr>
          <w:rFonts w:cs="Arial"/>
          <w:i w:val="false"/>
          <w:iCs w:val="false"/>
          <w:color w:val="000000"/>
        </w:rPr>
        <w:t>12.1. Não haverá exigência de garantia contratual da execução, pelas razões abaixo justificadas:</w:t>
      </w:r>
    </w:p>
    <w:p>
      <w:pPr>
        <w:pStyle w:val="Normal"/>
        <w:widowControl/>
        <w:numPr>
          <w:ilvl w:val="2"/>
          <w:numId w:val="1"/>
        </w:numPr>
        <w:bidi w:val="0"/>
        <w:spacing w:lineRule="auto" w:line="276" w:before="120" w:after="120"/>
        <w:ind w:left="930" w:right="0" w:hanging="504"/>
        <w:jc w:val="both"/>
        <w:rPr>
          <w:rFonts w:cs="Arial"/>
          <w:i w:val="false"/>
          <w:i w:val="false"/>
          <w:iCs w:val="false"/>
          <w:color w:val="000000"/>
        </w:rPr>
      </w:pPr>
      <w:r>
        <w:rPr>
          <w:rFonts w:cs="Arial"/>
          <w:i w:val="false"/>
          <w:iCs w:val="false"/>
          <w:color w:val="000000"/>
        </w:rPr>
        <w:t>A não exigência de garantia tem justificativa por escolha, por conveniência ou oportunidade da Administração.</w:t>
      </w:r>
    </w:p>
    <w:p>
      <w:pPr>
        <w:pStyle w:val="Nivel1"/>
        <w:ind w:left="357" w:right="0" w:hanging="357"/>
        <w:rPr/>
      </w:pPr>
      <w:r>
        <w:rPr/>
        <w:t>13. DAS SANÇÕES ADMINISTRATIVAS</w:t>
      </w:r>
    </w:p>
    <w:p>
      <w:pPr>
        <w:pStyle w:val="Normal"/>
        <w:spacing w:lineRule="auto" w:line="276" w:before="120" w:after="120"/>
        <w:ind w:left="425" w:right="0" w:hanging="0"/>
        <w:jc w:val="both"/>
        <w:rPr>
          <w:rFonts w:cs="Arial"/>
          <w:szCs w:val="20"/>
        </w:rPr>
      </w:pPr>
      <w:r>
        <w:rPr>
          <w:rFonts w:cs="Arial"/>
          <w:szCs w:val="20"/>
        </w:rPr>
        <w:t>13.1. Comete infração administrativa nos termos da Lei nº 10.520, de 2002, a Contratada que:</w:t>
      </w:r>
    </w:p>
    <w:p>
      <w:pPr>
        <w:pStyle w:val="Normal"/>
        <w:spacing w:lineRule="auto" w:line="276" w:before="120" w:after="120"/>
        <w:ind w:left="1134" w:right="0" w:hanging="0"/>
        <w:jc w:val="both"/>
        <w:rPr>
          <w:rFonts w:cs="Arial"/>
          <w:szCs w:val="20"/>
        </w:rPr>
      </w:pPr>
      <w:r>
        <w:rPr>
          <w:rFonts w:cs="Arial"/>
          <w:szCs w:val="20"/>
        </w:rPr>
        <w:t>13.1.1. inexecutar total ou parcialmente qualquer das obrigações assumidas em decorrência da contratação;</w:t>
      </w:r>
    </w:p>
    <w:p>
      <w:pPr>
        <w:pStyle w:val="Normal"/>
        <w:spacing w:lineRule="auto" w:line="276" w:before="120" w:after="120"/>
        <w:ind w:left="1134" w:right="0" w:hanging="0"/>
        <w:jc w:val="both"/>
        <w:rPr>
          <w:rFonts w:cs="Arial"/>
          <w:szCs w:val="20"/>
        </w:rPr>
      </w:pPr>
      <w:r>
        <w:rPr>
          <w:rFonts w:cs="Arial"/>
          <w:szCs w:val="20"/>
        </w:rPr>
        <w:t>13.1.2. ensejar o retardamento da execução do objeto;</w:t>
      </w:r>
    </w:p>
    <w:p>
      <w:pPr>
        <w:pStyle w:val="Normal"/>
        <w:spacing w:lineRule="auto" w:line="276" w:before="120" w:after="120"/>
        <w:ind w:left="1134" w:right="0" w:hanging="0"/>
        <w:jc w:val="both"/>
        <w:rPr>
          <w:rFonts w:cs="Arial"/>
          <w:szCs w:val="20"/>
        </w:rPr>
      </w:pPr>
      <w:r>
        <w:rPr>
          <w:rFonts w:cs="Arial"/>
          <w:szCs w:val="20"/>
        </w:rPr>
        <w:t>13.1.3. falhar ou fraudar na execução do contrato;</w:t>
      </w:r>
    </w:p>
    <w:p>
      <w:pPr>
        <w:pStyle w:val="Normal"/>
        <w:spacing w:lineRule="auto" w:line="276" w:before="120" w:after="120"/>
        <w:ind w:left="1134" w:right="0" w:hanging="0"/>
        <w:jc w:val="both"/>
        <w:rPr>
          <w:rFonts w:cs="Arial"/>
          <w:szCs w:val="20"/>
        </w:rPr>
      </w:pPr>
      <w:r>
        <w:rPr>
          <w:rFonts w:cs="Arial"/>
          <w:szCs w:val="20"/>
        </w:rPr>
        <w:t>13.1.4. comportar-se de modo inidôneo;</w:t>
      </w:r>
    </w:p>
    <w:p>
      <w:pPr>
        <w:pStyle w:val="Normal"/>
        <w:spacing w:lineRule="auto" w:line="276" w:before="120" w:after="120"/>
        <w:ind w:left="1134" w:right="0" w:hanging="0"/>
        <w:jc w:val="both"/>
        <w:rPr>
          <w:rFonts w:cs="Arial"/>
          <w:szCs w:val="20"/>
        </w:rPr>
      </w:pPr>
      <w:r>
        <w:rPr>
          <w:rFonts w:cs="Arial"/>
          <w:szCs w:val="20"/>
        </w:rPr>
        <w:t>13.1.5. cometer fraude fiscal;</w:t>
      </w:r>
    </w:p>
    <w:p>
      <w:pPr>
        <w:pStyle w:val="ListParagraph"/>
        <w:spacing w:lineRule="auto" w:line="276" w:before="120" w:after="120"/>
        <w:ind w:left="716" w:right="0" w:hanging="432"/>
        <w:contextualSpacing/>
        <w:jc w:val="both"/>
        <w:rPr>
          <w:rFonts w:cs="Arial"/>
          <w:szCs w:val="20"/>
        </w:rPr>
      </w:pPr>
      <w:r>
        <w:rPr>
          <w:rFonts w:cs="Arial"/>
          <w:szCs w:val="20"/>
        </w:rPr>
        <w:t xml:space="preserve">13.2. 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spacing w:lineRule="auto" w:line="276" w:before="120" w:after="120"/>
        <w:ind w:left="1134" w:right="0" w:hanging="0"/>
        <w:jc w:val="both"/>
        <w:rPr>
          <w:rFonts w:cs="Arial"/>
          <w:szCs w:val="20"/>
        </w:rPr>
      </w:pPr>
      <w:r>
        <w:rPr>
          <w:rFonts w:cs="Arial"/>
          <w:szCs w:val="20"/>
        </w:rPr>
        <w:t>13.2.1. Advertência, por faltas leves, assim entendidas aquelas que não acarretem prejuízos significativos para a Contratante;</w:t>
      </w:r>
    </w:p>
    <w:p>
      <w:pPr>
        <w:pStyle w:val="Normal"/>
        <w:spacing w:lineRule="auto" w:line="276" w:before="120" w:after="120"/>
        <w:ind w:left="1134" w:right="0" w:hanging="0"/>
        <w:jc w:val="both"/>
        <w:rPr>
          <w:rFonts w:cs="Arial"/>
          <w:szCs w:val="20"/>
        </w:rPr>
      </w:pPr>
      <w:r>
        <w:rPr>
          <w:rFonts w:cs="Arial"/>
          <w:szCs w:val="20"/>
        </w:rPr>
        <w:t>13.2.2. multa moratória de</w:t>
      </w:r>
      <w:r>
        <w:rPr>
          <w:rFonts w:cs="Arial"/>
          <w:color w:val="000000"/>
          <w:szCs w:val="20"/>
        </w:rPr>
        <w:t xml:space="preserve"> 0,25% (zero vírgula vinte e cinco por cento) </w:t>
      </w:r>
      <w:r>
        <w:rPr>
          <w:rFonts w:cs="Arial"/>
          <w:szCs w:val="20"/>
        </w:rPr>
        <w:t>por dia de atraso injustificado sobre o valor da parcela inadimplida, até o limite de 180 (cento e oitenta) dias;</w:t>
      </w:r>
    </w:p>
    <w:p>
      <w:pPr>
        <w:pStyle w:val="Normal"/>
        <w:spacing w:lineRule="auto" w:line="276" w:before="120" w:after="120"/>
        <w:ind w:left="1134" w:right="0" w:hanging="0"/>
        <w:jc w:val="both"/>
        <w:rPr>
          <w:rFonts w:cs="Arial"/>
          <w:szCs w:val="20"/>
        </w:rPr>
      </w:pPr>
      <w:r>
        <w:rPr>
          <w:rFonts w:cs="Arial"/>
          <w:szCs w:val="20"/>
        </w:rPr>
        <w:t>13.2.3. multa co</w:t>
      </w:r>
      <w:r>
        <w:rPr>
          <w:rFonts w:cs="Arial"/>
          <w:color w:val="000000"/>
          <w:szCs w:val="20"/>
        </w:rPr>
        <w:t xml:space="preserve">mpensatória de 10%  (dez por cento) </w:t>
      </w:r>
      <w:r>
        <w:rPr>
          <w:rFonts w:cs="Arial"/>
          <w:szCs w:val="20"/>
        </w:rPr>
        <w:t>sobre o valor total do contrato, no caso de inexecução total do objeto;</w:t>
      </w:r>
    </w:p>
    <w:p>
      <w:pPr>
        <w:pStyle w:val="Normal"/>
        <w:spacing w:lineRule="auto" w:line="276" w:before="120" w:after="120"/>
        <w:ind w:left="1134" w:right="0" w:hanging="0"/>
        <w:jc w:val="both"/>
        <w:rPr>
          <w:rFonts w:cs="Arial"/>
          <w:szCs w:val="20"/>
        </w:rPr>
      </w:pPr>
      <w:r>
        <w:rPr>
          <w:rFonts w:cs="Arial"/>
          <w:szCs w:val="20"/>
        </w:rPr>
        <w:t>13.2.4. em caso de inexecução parcial, a multa compensatória, no mesmo percentual do subitem acima, será aplicada de forma proporcional à obrigação inadimplida;</w:t>
      </w:r>
    </w:p>
    <w:p>
      <w:pPr>
        <w:pStyle w:val="Normal"/>
        <w:spacing w:lineRule="auto" w:line="276" w:before="120" w:after="120"/>
        <w:ind w:left="1134" w:right="0" w:hanging="0"/>
        <w:jc w:val="both"/>
        <w:rPr>
          <w:rFonts w:cs="Arial"/>
          <w:szCs w:val="20"/>
        </w:rPr>
      </w:pPr>
      <w:r>
        <w:rPr>
          <w:rFonts w:cs="Arial"/>
          <w:szCs w:val="20"/>
        </w:rPr>
        <w:t xml:space="preserve">13.2.5. suspensão de licitar e impedimento de contratar com o órgão, entidade ou unidade administrativa pela qual a Administração Pública opera e atua concretamente, pelo prazo de até dois anos; </w:t>
      </w:r>
    </w:p>
    <w:p>
      <w:pPr>
        <w:pStyle w:val="Normal"/>
        <w:spacing w:lineRule="auto" w:line="276" w:before="120" w:after="120"/>
        <w:ind w:left="1134" w:right="0" w:hanging="0"/>
        <w:jc w:val="both"/>
        <w:rPr>
          <w:rFonts w:cs="Arial"/>
          <w:szCs w:val="20"/>
        </w:rPr>
      </w:pPr>
      <w:r>
        <w:rPr>
          <w:rFonts w:cs="Arial"/>
          <w:szCs w:val="20"/>
        </w:rPr>
        <w:t>13.2.6. impedimento de licitar e contratar com órgãos e entidades da União com o consequente descredenciamento no SICAF pelo prazo de até cinco anos;</w:t>
      </w:r>
    </w:p>
    <w:p>
      <w:pPr>
        <w:pStyle w:val="PargrafodaLista1"/>
        <w:spacing w:lineRule="auto" w:line="276" w:before="120" w:after="120"/>
        <w:ind w:left="2491" w:right="0" w:hanging="648"/>
        <w:jc w:val="both"/>
        <w:rPr>
          <w:rFonts w:ascii="Arial" w:hAnsi="Arial" w:cs="Arial"/>
          <w:sz w:val="20"/>
          <w:szCs w:val="20"/>
        </w:rPr>
      </w:pPr>
      <w:r>
        <w:rPr>
          <w:rFonts w:cs="Arial" w:ascii="Arial" w:hAnsi="Arial"/>
          <w:sz w:val="20"/>
          <w:szCs w:val="20"/>
        </w:rPr>
        <w:t>13.2.6.1. A Sanção de impedimento de licitar e contratar prevista neste subitem também é aplicável em quaisquer das hipóteses previstas como infração administrativa no subitem 14.1 deste Termo de Referência.</w:t>
      </w:r>
    </w:p>
    <w:p>
      <w:pPr>
        <w:pStyle w:val="Normal"/>
        <w:spacing w:lineRule="auto" w:line="276" w:before="120" w:after="120"/>
        <w:ind w:left="1134" w:right="0" w:hanging="0"/>
        <w:jc w:val="both"/>
        <w:rPr>
          <w:rFonts w:cs="Arial"/>
          <w:szCs w:val="20"/>
        </w:rPr>
      </w:pPr>
      <w:r>
        <w:rPr>
          <w:rFonts w:cs="Arial"/>
          <w:szCs w:val="20"/>
        </w:rPr>
        <w:t>13.2.7.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lineRule="auto" w:line="276" w:before="120" w:after="120"/>
        <w:ind w:left="716" w:right="0" w:hanging="432"/>
        <w:jc w:val="both"/>
        <w:rPr>
          <w:rFonts w:cs="Arial"/>
          <w:szCs w:val="20"/>
        </w:rPr>
      </w:pPr>
      <w:r>
        <w:rPr>
          <w:rFonts w:cs="Arial"/>
          <w:szCs w:val="20"/>
        </w:rPr>
        <w:t>13.3. As sanções previstas nos subitens 14.2.1, 14.2.5, 14.2.6 e 14.2.7 poderão ser aplicadas à CONTRATADA juntamente com as de multa, descontando-a dos pagamentos a serem efetuados.</w:t>
      </w:r>
    </w:p>
    <w:p>
      <w:pPr>
        <w:pStyle w:val="Normal"/>
        <w:spacing w:lineRule="auto" w:line="276" w:before="120" w:after="120"/>
        <w:ind w:left="425" w:right="0" w:hanging="0"/>
        <w:jc w:val="both"/>
        <w:rPr>
          <w:rFonts w:cs="Arial"/>
          <w:szCs w:val="20"/>
        </w:rPr>
      </w:pPr>
      <w:r>
        <w:rPr>
          <w:rFonts w:cs="Arial"/>
          <w:szCs w:val="20"/>
        </w:rPr>
        <w:t>13.4. Também ficam sujeitas às penalidades do art. 87, III e IV da Lei nº 8.666, de 1993, as empresas ou profissionais que:</w:t>
      </w:r>
    </w:p>
    <w:p>
      <w:pPr>
        <w:pStyle w:val="Normal"/>
        <w:spacing w:lineRule="auto" w:line="276" w:before="120" w:after="120"/>
        <w:ind w:left="1134" w:right="0" w:hanging="0"/>
        <w:jc w:val="both"/>
        <w:rPr>
          <w:rFonts w:cs="Arial"/>
          <w:szCs w:val="20"/>
        </w:rPr>
      </w:pPr>
      <w:r>
        <w:rPr>
          <w:rFonts w:cs="Arial"/>
          <w:szCs w:val="20"/>
        </w:rPr>
        <w:t>13.4.1. tenham sofrido condenação definitiva por praticar, por meio dolosos, fraude fiscal no recolhimento de quaisquer tributos;</w:t>
      </w:r>
    </w:p>
    <w:p>
      <w:pPr>
        <w:pStyle w:val="Normal"/>
        <w:spacing w:lineRule="auto" w:line="276" w:before="120" w:after="120"/>
        <w:ind w:left="1134" w:right="0" w:hanging="0"/>
        <w:jc w:val="both"/>
        <w:rPr>
          <w:rFonts w:cs="Arial"/>
          <w:szCs w:val="20"/>
        </w:rPr>
      </w:pPr>
      <w:r>
        <w:rPr>
          <w:rFonts w:cs="Arial"/>
          <w:szCs w:val="20"/>
        </w:rPr>
        <w:t>13.4.2. tenham praticado atos ilícitos visando a frustrar os objetivos da licitação;</w:t>
      </w:r>
    </w:p>
    <w:p>
      <w:pPr>
        <w:pStyle w:val="Normal"/>
        <w:widowControl/>
        <w:bidi w:val="0"/>
        <w:spacing w:lineRule="auto" w:line="276" w:before="240" w:after="120"/>
        <w:ind w:left="1191" w:right="0" w:hanging="283"/>
        <w:jc w:val="both"/>
        <w:rPr>
          <w:rFonts w:cs="Arial"/>
          <w:szCs w:val="20"/>
        </w:rPr>
      </w:pPr>
      <w:r>
        <w:rPr>
          <w:rFonts w:cs="Arial"/>
          <w:szCs w:val="20"/>
        </w:rPr>
        <w:t>13.4.3. demonstrem não possuir idoneidade para contratar com a Administração em virtude de atos ilícitos praticados.</w:t>
      </w:r>
    </w:p>
    <w:p>
      <w:pPr>
        <w:pStyle w:val="Normal"/>
        <w:spacing w:lineRule="auto" w:line="276" w:before="120" w:after="120"/>
        <w:ind w:left="425" w:right="0" w:hanging="0"/>
        <w:jc w:val="both"/>
        <w:rPr>
          <w:rFonts w:cs="Arial"/>
          <w:szCs w:val="20"/>
        </w:rPr>
      </w:pPr>
      <w:r>
        <w:rPr>
          <w:rFonts w:cs="Arial"/>
          <w:szCs w:val="20"/>
        </w:rPr>
        <w:t>13.5. 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widowControl/>
        <w:suppressAutoHyphens w:val="true"/>
        <w:overflowPunct w:val="true"/>
        <w:bidi w:val="0"/>
        <w:spacing w:lineRule="auto" w:line="276" w:before="120" w:after="120"/>
        <w:ind w:left="454" w:right="0" w:hanging="0"/>
        <w:jc w:val="both"/>
        <w:rPr>
          <w:szCs w:val="20"/>
        </w:rPr>
      </w:pPr>
      <w:r>
        <w:rPr>
          <w:szCs w:val="20"/>
        </w:rPr>
        <w:t>13.6.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widowControl/>
        <w:suppressAutoHyphens w:val="true"/>
        <w:overflowPunct w:val="true"/>
        <w:bidi w:val="0"/>
        <w:spacing w:lineRule="auto" w:line="276" w:before="120" w:after="120"/>
        <w:ind w:left="1191" w:right="0" w:hanging="57"/>
        <w:jc w:val="both"/>
        <w:rPr>
          <w:color w:val="000000"/>
          <w:szCs w:val="20"/>
        </w:rPr>
      </w:pPr>
      <w:r>
        <w:rPr>
          <w:szCs w:val="20"/>
        </w:rPr>
        <w:t>13.6.1. Caso a Contratante determine, a multa deverá ser recolhida no prazo máximo d</w:t>
      </w:r>
      <w:r>
        <w:rPr>
          <w:color w:val="000000"/>
          <w:szCs w:val="20"/>
        </w:rPr>
        <w:t>e 30 (trinta) dias, a contar da data do recebimento da comunicação enviada pela autoridade competente.</w:t>
      </w:r>
    </w:p>
    <w:p>
      <w:pPr>
        <w:pStyle w:val="Normal"/>
        <w:spacing w:lineRule="auto" w:line="276" w:before="120" w:after="120"/>
        <w:ind w:left="716" w:right="0" w:hanging="432"/>
        <w:jc w:val="both"/>
        <w:rPr>
          <w:rFonts w:cs="Arial"/>
          <w:szCs w:val="20"/>
        </w:rPr>
      </w:pPr>
      <w:r>
        <w:rPr>
          <w:rFonts w:cs="Arial"/>
          <w:szCs w:val="20"/>
        </w:rPr>
        <w:t>13.7. Caso o valor da multa não seja suficiente para cobrir os prejuízos causados pela conduta do licitante, a União ou Entidade poderá cobrar o valor remanescente judicialmente, conforme artigo 419 do Código Civil.</w:t>
      </w:r>
    </w:p>
    <w:p>
      <w:pPr>
        <w:pStyle w:val="Normal"/>
        <w:spacing w:lineRule="auto" w:line="276" w:before="120" w:after="120"/>
        <w:ind w:left="716" w:right="0" w:hanging="432"/>
        <w:jc w:val="both"/>
        <w:rPr/>
      </w:pPr>
      <w:r>
        <w:rPr/>
        <w:t>13.8. A autoridade competente, na aplicação das sanções, levará em consideração a gravidade da conduta do infrator, o caráter educativo da pena, bem como o dano causado à Administração, observado o princípio da proporcionalidade.</w:t>
      </w:r>
    </w:p>
    <w:p>
      <w:pPr>
        <w:pStyle w:val="Nivel2"/>
        <w:rPr>
          <w:rFonts w:ascii="Arial" w:hAnsi="Arial" w:cs="Arial"/>
        </w:rPr>
      </w:pPr>
      <w:r>
        <w:rPr>
          <w:rFonts w:cs="Arial" w:ascii="Arial" w:hAnsi="Arial"/>
        </w:rPr>
        <w:t xml:space="preserve">13.9.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rPr>
          <w:rFonts w:ascii="Arial" w:hAnsi="Arial" w:cs="Arial"/>
        </w:rPr>
      </w:pPr>
      <w:r>
        <w:rPr>
          <w:rFonts w:cs="Arial" w:ascii="Arial" w:hAnsi="Arial"/>
        </w:rPr>
        <w:t>13.10.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rPr>
          <w:rFonts w:ascii="Arial" w:hAnsi="Arial" w:cs="Arial"/>
        </w:rPr>
      </w:pPr>
      <w:r>
        <w:rPr>
          <w:rFonts w:cs="Arial" w:ascii="Arial" w:hAnsi="Arial"/>
        </w:rPr>
        <w:t xml:space="preserve">13.11.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widowControl/>
        <w:suppressAutoHyphens w:val="true"/>
        <w:overflowPunct w:val="true"/>
        <w:bidi w:val="0"/>
        <w:spacing w:lineRule="auto" w:line="276" w:before="120" w:after="120"/>
        <w:ind w:left="0" w:right="0" w:hanging="0"/>
        <w:jc w:val="both"/>
        <w:rPr>
          <w:rFonts w:cs="Arial"/>
          <w:szCs w:val="20"/>
        </w:rPr>
      </w:pPr>
      <w:r>
        <w:rPr>
          <w:rFonts w:cs="Arial"/>
          <w:szCs w:val="20"/>
        </w:rPr>
        <w:t>13.12. As penalidades serão obrigatoriamente registradas no SICAF.</w:t>
      </w:r>
    </w:p>
    <w:p>
      <w:pPr>
        <w:pStyle w:val="Nivel1"/>
        <w:spacing w:before="120" w:after="120"/>
        <w:ind w:left="357" w:right="0" w:hanging="0"/>
        <w:rPr>
          <w:bCs/>
        </w:rPr>
      </w:pPr>
      <w:r>
        <w:rPr>
          <w:bCs/>
        </w:rPr>
      </w:r>
    </w:p>
    <w:p>
      <w:pPr>
        <w:pStyle w:val="Nivel1"/>
        <w:keepNext/>
        <w:keepLines/>
        <w:widowControl/>
        <w:suppressAutoHyphens w:val="true"/>
        <w:overflowPunct w:val="true"/>
        <w:bidi w:val="0"/>
        <w:spacing w:lineRule="auto" w:line="276" w:before="120" w:after="120"/>
        <w:ind w:left="0" w:right="0" w:hanging="0"/>
        <w:jc w:val="both"/>
        <w:rPr>
          <w:bCs/>
        </w:rPr>
      </w:pPr>
      <w:r>
        <w:rPr>
          <w:bCs/>
        </w:rPr>
        <w:t xml:space="preserve">14. ESTIMATIVA DE </w:t>
      </w:r>
      <w:r>
        <w:rPr/>
        <w:t>PREÇOS</w:t>
      </w:r>
      <w:r>
        <w:rPr>
          <w:bCs/>
        </w:rPr>
        <w:t xml:space="preserve"> E PREÇOS REFERENCIAIS.</w:t>
      </w:r>
    </w:p>
    <w:p>
      <w:pPr>
        <w:pStyle w:val="Normal"/>
        <w:spacing w:lineRule="auto" w:line="276" w:before="120" w:after="120"/>
        <w:ind w:left="0" w:right="0" w:hanging="0"/>
        <w:jc w:val="both"/>
        <w:rPr>
          <w:b/>
          <w:b/>
          <w:i/>
          <w:i/>
          <w:color w:val="FF0000"/>
          <w:u w:val="single"/>
          <w:shd w:fill="FFFF00" w:val="clear"/>
        </w:rPr>
      </w:pPr>
      <w:r>
        <w:rPr>
          <w:b/>
          <w:i/>
          <w:color w:val="FF0000"/>
          <w:u w:val="single"/>
          <w:shd w:fill="FFFF00" w:val="clear"/>
        </w:rPr>
      </w:r>
    </w:p>
    <w:p>
      <w:pPr>
        <w:pStyle w:val="Nivel1"/>
        <w:keepNext/>
        <w:keepLines/>
        <w:widowControl/>
        <w:suppressAutoHyphens w:val="true"/>
        <w:overflowPunct w:val="true"/>
        <w:bidi w:val="0"/>
        <w:spacing w:lineRule="auto" w:line="276" w:before="120" w:after="120"/>
        <w:ind w:left="0" w:right="0" w:hanging="0"/>
        <w:jc w:val="both"/>
        <w:rPr>
          <w:b w:val="false"/>
          <w:b w:val="false"/>
          <w:i w:val="false"/>
          <w:i w:val="false"/>
          <w:iCs w:val="false"/>
          <w:color w:val="000000"/>
          <w:shd w:fill="FFFFFF" w:val="clear"/>
        </w:rPr>
      </w:pPr>
      <w:r>
        <w:rPr>
          <w:b w:val="false"/>
          <w:i w:val="false"/>
          <w:iCs w:val="false"/>
          <w:color w:val="000000"/>
          <w:shd w:fill="FFFFFF" w:val="clear"/>
        </w:rPr>
        <w:t xml:space="preserve">14.1. O custo estimado da contratação é de R$ 434.205,00. </w:t>
      </w:r>
    </w:p>
    <w:p>
      <w:pPr>
        <w:pStyle w:val="Normal"/>
        <w:rPr/>
      </w:pPr>
      <w:r>
        <w:rPr/>
      </w:r>
    </w:p>
    <w:p>
      <w:pPr>
        <w:pStyle w:val="Nivel1"/>
        <w:keepNext/>
        <w:keepLines/>
        <w:widowControl/>
        <w:numPr>
          <w:ilvl w:val="0"/>
          <w:numId w:val="0"/>
        </w:numPr>
        <w:suppressAutoHyphens w:val="true"/>
        <w:overflowPunct w:val="true"/>
        <w:bidi w:val="0"/>
        <w:spacing w:lineRule="auto" w:line="276" w:before="120" w:after="120"/>
        <w:ind w:left="0" w:right="0" w:hanging="0"/>
        <w:jc w:val="both"/>
        <w:rPr/>
      </w:pPr>
      <w:r>
        <w:rPr/>
        <w:t xml:space="preserve">15. </w:t>
      </w:r>
      <w:r>
        <w:rPr/>
        <w:t>DOS RECURSOS ORÇAMENTÁRIOS.</w:t>
      </w:r>
    </w:p>
    <w:p>
      <w:pPr>
        <w:pStyle w:val="ListParagraph"/>
        <w:widowControl/>
        <w:numPr>
          <w:ilvl w:val="0"/>
          <w:numId w:val="0"/>
        </w:numPr>
        <w:suppressAutoHyphens w:val="true"/>
        <w:overflowPunct w:val="true"/>
        <w:bidi w:val="0"/>
        <w:spacing w:lineRule="auto" w:line="276" w:before="120" w:after="120"/>
        <w:ind w:left="227" w:right="0" w:hanging="0"/>
        <w:contextualSpacing/>
        <w:jc w:val="both"/>
        <w:rPr>
          <w:color w:val="3333FF"/>
          <w:szCs w:val="20"/>
        </w:rPr>
      </w:pPr>
      <w:r>
        <w:rPr>
          <w:color w:val="000000"/>
          <w:szCs w:val="20"/>
        </w:rPr>
        <w:t xml:space="preserve">15.1. </w:t>
      </w:r>
      <w:r>
        <w:rPr>
          <w:color w:val="000000"/>
          <w:szCs w:val="20"/>
        </w:rPr>
        <w:t>Por ser uma aquisição por registro de preços, não há a necessidade de incluir as dotações orçamentárias.</w:t>
      </w:r>
    </w:p>
    <w:p>
      <w:pPr>
        <w:pStyle w:val="Normal"/>
        <w:spacing w:lineRule="auto" w:line="276" w:before="120" w:after="120"/>
        <w:ind w:left="425" w:right="0" w:hanging="0"/>
        <w:jc w:val="both"/>
        <w:rPr>
          <w:rFonts w:cs="Arial"/>
          <w:i/>
          <w:i/>
          <w:szCs w:val="20"/>
        </w:rPr>
      </w:pPr>
      <w:r>
        <w:rPr>
          <w:rFonts w:cs="Arial"/>
          <w:i/>
          <w:szCs w:val="20"/>
        </w:rPr>
      </w:r>
    </w:p>
    <w:p>
      <w:pPr>
        <w:pStyle w:val="Normal"/>
        <w:spacing w:lineRule="auto" w:line="276" w:before="120" w:after="120"/>
        <w:ind w:left="425" w:right="0" w:hanging="0"/>
        <w:jc w:val="both"/>
        <w:rPr/>
      </w:pPr>
      <w:r>
        <w:rPr>
          <w:rFonts w:cs="Arial"/>
          <w:i w:val="false"/>
          <w:iCs w:val="false"/>
          <w:szCs w:val="20"/>
        </w:rPr>
        <w:t xml:space="preserve">Maceió, </w:t>
      </w:r>
      <w:r>
        <w:rPr>
          <w:rFonts w:cs="Arial"/>
          <w:i w:val="false"/>
          <w:iCs w:val="false"/>
          <w:szCs w:val="20"/>
        </w:rPr>
        <w:t>31</w:t>
      </w:r>
      <w:r>
        <w:rPr>
          <w:rFonts w:cs="Arial"/>
          <w:i w:val="false"/>
          <w:iCs w:val="false"/>
          <w:szCs w:val="20"/>
        </w:rPr>
        <w:t xml:space="preserve"> de </w:t>
      </w:r>
      <w:r>
        <w:rPr>
          <w:rFonts w:cs="Arial"/>
          <w:i w:val="false"/>
          <w:iCs w:val="false"/>
          <w:szCs w:val="20"/>
        </w:rPr>
        <w:t>março</w:t>
      </w:r>
      <w:r>
        <w:rPr>
          <w:rFonts w:cs="Arial"/>
          <w:i w:val="false"/>
          <w:iCs w:val="false"/>
          <w:szCs w:val="20"/>
        </w:rPr>
        <w:t xml:space="preserve"> de 2020</w:t>
      </w:r>
    </w:p>
    <w:p>
      <w:pPr>
        <w:pStyle w:val="Normal"/>
        <w:spacing w:lineRule="auto" w:line="276" w:before="120" w:after="120"/>
        <w:ind w:left="425" w:right="0" w:hanging="0"/>
        <w:jc w:val="both"/>
        <w:rPr>
          <w:rFonts w:cs="Arial"/>
          <w:i w:val="false"/>
          <w:i w:val="false"/>
          <w:iCs w:val="false"/>
          <w:szCs w:val="20"/>
        </w:rPr>
      </w:pPr>
      <w:r>
        <w:rPr/>
      </w:r>
    </w:p>
    <w:p>
      <w:pPr>
        <w:pStyle w:val="Normal"/>
        <w:spacing w:before="0" w:after="360"/>
        <w:ind w:left="360" w:right="0" w:hanging="0"/>
        <w:jc w:val="center"/>
        <w:rPr>
          <w:rFonts w:cs="Arial"/>
          <w:szCs w:val="20"/>
        </w:rPr>
      </w:pPr>
      <w:r>
        <w:rPr>
          <w:rFonts w:cs="Arial"/>
          <w:szCs w:val="20"/>
        </w:rPr>
        <w:t>__________________________________</w:t>
      </w:r>
    </w:p>
    <w:p>
      <w:pPr>
        <w:pStyle w:val="Normal"/>
        <w:spacing w:lineRule="auto" w:line="276" w:before="0" w:after="360"/>
        <w:ind w:left="360" w:right="0" w:hanging="0"/>
        <w:jc w:val="center"/>
        <w:rPr>
          <w:rFonts w:cs="Arial"/>
          <w:szCs w:val="20"/>
        </w:rPr>
      </w:pPr>
      <w:r>
        <w:rPr>
          <w:rFonts w:cs="Arial"/>
          <w:b/>
          <w:bCs/>
          <w:szCs w:val="20"/>
        </w:rPr>
        <w:t xml:space="preserve">Elisângela Patrícia Maia de Araújo </w:t>
      </w:r>
    </w:p>
    <w:p>
      <w:pPr>
        <w:pStyle w:val="Normal"/>
        <w:spacing w:lineRule="auto" w:line="276" w:before="0" w:after="360"/>
        <w:ind w:left="360" w:right="0" w:hanging="0"/>
        <w:jc w:val="center"/>
        <w:rPr>
          <w:rFonts w:cs="Arial"/>
          <w:szCs w:val="20"/>
        </w:rPr>
      </w:pPr>
      <w:r>
        <w:rPr>
          <w:rFonts w:cs="Arial"/>
          <w:szCs w:val="20"/>
        </w:rPr>
        <w:t>Diretora do Biotério Central</w:t>
      </w:r>
    </w:p>
    <w:p>
      <w:pPr>
        <w:pStyle w:val="Normal"/>
        <w:spacing w:before="0" w:after="360"/>
        <w:ind w:left="360" w:right="0" w:hanging="0"/>
        <w:rPr>
          <w:rFonts w:cs="Arial"/>
          <w:szCs w:val="20"/>
        </w:rPr>
      </w:pPr>
      <w:r>
        <w:rPr>
          <w:rFonts w:cs="Arial"/>
          <w:szCs w:val="20"/>
        </w:rPr>
      </w:r>
    </w:p>
    <w:p>
      <w:pPr>
        <w:pStyle w:val="Normal"/>
        <w:rPr>
          <w:rFonts w:cs="Arial"/>
          <w:szCs w:val="20"/>
        </w:rPr>
      </w:pPr>
      <w:r>
        <w:rPr>
          <w:rFonts w:cs="Arial"/>
          <w:szCs w:val="20"/>
        </w:rPr>
      </w:r>
    </w:p>
    <w:p>
      <w:pPr>
        <w:pStyle w:val="Normal"/>
        <w:rPr/>
      </w:pPr>
      <w:r>
        <w:rPr/>
      </w:r>
    </w:p>
    <w:sectPr>
      <w:footerReference w:type="default" r:id="rId2"/>
      <w:type w:val="nextPage"/>
      <w:pgSz w:w="11906" w:h="16838"/>
      <w:pgMar w:left="1701" w:right="1134" w:header="0" w:top="1418" w:footer="709" w:bottom="1418"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ARIAL">
    <w:charset w:val="00"/>
    <w:family w:val="roman"/>
    <w:pitch w:val="variable"/>
  </w:font>
  <w:font w:name="Arial">
    <w:altName w:val="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da Consultoria-Geral da União</w:t>
    </w:r>
  </w:p>
  <w:p>
    <w:pPr>
      <w:pStyle w:val="Rodap"/>
      <w:rPr>
        <w:rFonts w:cs="Arial"/>
        <w:sz w:val="12"/>
        <w:szCs w:val="12"/>
      </w:rPr>
    </w:pPr>
    <w:r>
      <w:rPr>
        <w:rFonts w:cs="Arial"/>
        <w:sz w:val="12"/>
        <w:szCs w:val="12"/>
      </w:rPr>
      <w:t>Termo de Referência - Modelo para Pregão Eletrônico – Compras</w:t>
    </w:r>
  </w:p>
  <w:p>
    <w:pPr>
      <w:pStyle w:val="Rodap"/>
      <w:rPr>
        <w:rFonts w:cs="Arial"/>
        <w:sz w:val="12"/>
        <w:szCs w:val="12"/>
      </w:rPr>
    </w:pPr>
    <w:r>
      <w:rPr>
        <w:rFonts w:cs="Arial"/>
        <w:sz w:val="12"/>
        <w:szCs w:val="12"/>
      </w:rPr>
      <w:t>Atualização: Dezembro/2019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rPr>
    </w:lvl>
    <w:lvl w:ilvl="1">
      <w:start w:val="1"/>
      <w:numFmt w:val="decimal"/>
      <w:lvlText w:val="%1.%2."/>
      <w:lvlJc w:val="left"/>
      <w:pPr>
        <w:ind w:left="716" w:hanging="432"/>
      </w:pPr>
      <w:rPr>
        <w:dstrike w:val="false"/>
        <w:strike w:val="false"/>
        <w:i w:val="false"/>
        <w:b/>
        <w:bCs/>
      </w:rPr>
    </w:lvl>
    <w:lvl w:ilvl="2">
      <w:start w:val="1"/>
      <w:numFmt w:val="decimal"/>
      <w:lvlText w:val="%1.%2.%3."/>
      <w:lvlJc w:val="left"/>
      <w:pPr>
        <w:ind w:left="930" w:hanging="504"/>
      </w:pPr>
      <w:rPr>
        <w:i w:val="false"/>
        <w:b/>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style w:type="paragraph" w:styleId="Normal">
    <w:name w:val="Normal"/>
    <w:qFormat/>
    <w:pPr>
      <w:widowControl/>
      <w:suppressAutoHyphens w:val="true"/>
      <w:overflowPunct w:val="true"/>
      <w:bidi w:val="0"/>
      <w:jc w:val="left"/>
    </w:pPr>
    <w:rPr>
      <w:rFonts w:ascii="Arial" w:hAnsi="Arial" w:eastAsia="Times New Roman" w:cs="Tahoma"/>
      <w:color w:val="00000A"/>
      <w:sz w:val="20"/>
      <w:szCs w:val="24"/>
      <w:lang w:val="pt-BR" w:eastAsia="pt-BR" w:bidi="ar-SA"/>
    </w:rPr>
  </w:style>
  <w:style w:type="paragraph" w:styleId="Ttulo1">
    <w:name w:val="Título 1"/>
    <w:basedOn w:val="Normal"/>
    <w:next w:val="Normal"/>
    <w:pPr>
      <w:keepNext/>
      <w:keepLines/>
      <w:spacing w:before="240" w:after="0"/>
      <w:outlineLvl w:val="0"/>
    </w:pPr>
    <w:rPr>
      <w:rFonts w:ascii="Cambria" w:hAnsi="Cambria" w:eastAsia="ＭＳ ゴシック" w:cs="Times New Roman"/>
      <w:color w:val="365F91"/>
      <w:sz w:val="32"/>
      <w:szCs w:val="32"/>
    </w:rPr>
  </w:style>
  <w:style w:type="paragraph" w:styleId="Ttulo2">
    <w:name w:val="Título 2"/>
    <w:basedOn w:val="Normal"/>
    <w:next w:val="Normal"/>
    <w:pPr>
      <w:keepNext/>
      <w:tabs>
        <w:tab w:val="left" w:pos="1701" w:leader="none"/>
      </w:tabs>
      <w:ind w:left="0" w:right="0" w:hanging="0"/>
      <w:jc w:val="center"/>
      <w:outlineLvl w:val="1"/>
    </w:pPr>
    <w:rPr>
      <w:rFonts w:ascii="Times New Roman" w:hAnsi="Times New Roman" w:cs="Times New Roman"/>
      <w:b/>
      <w:color w:val="000000"/>
      <w:szCs w:val="20"/>
    </w:rPr>
  </w:style>
  <w:style w:type="paragraph" w:styleId="Ttulo3">
    <w:name w:val="Título 3"/>
    <w:basedOn w:val="Ttulo"/>
    <w:pPr/>
    <w:rPr/>
  </w:style>
  <w:style w:type="paragraph" w:styleId="Ttulo4">
    <w:name w:val="Título 4"/>
    <w:basedOn w:val="Ttulo"/>
    <w:pPr/>
    <w:rPr/>
  </w:style>
  <w:style w:type="character" w:styleId="DefaultParagraphFont">
    <w:name w:val="Default Paragraph Font"/>
    <w:qFormat/>
    <w:rPr/>
  </w:style>
  <w:style w:type="character" w:styleId="TextodebaloChar">
    <w:name w:val="Texto de balão Char"/>
    <w:qFormat/>
    <w:rPr>
      <w:rFonts w:ascii="Tahoma" w:hAnsi="Tahoma" w:cs="Tahoma"/>
      <w:sz w:val="16"/>
      <w:szCs w:val="16"/>
    </w:rPr>
  </w:style>
  <w:style w:type="character" w:styleId="Ttulo2Char">
    <w:name w:val="Título 2 Char"/>
    <w:qFormat/>
    <w:rPr>
      <w:b/>
      <w:color w:val="000000"/>
      <w:sz w:val="24"/>
    </w:rPr>
  </w:style>
  <w:style w:type="character" w:styleId="Normalchar1">
    <w:name w:val="normal__char1"/>
    <w:qFormat/>
    <w:rPr>
      <w:rFonts w:ascii="Arial" w:hAnsi="Arial" w:cs="Arial"/>
      <w:strike w:val="false"/>
      <w:dstrike w:val="false"/>
      <w:sz w:val="24"/>
      <w:szCs w:val="24"/>
      <w:u w:val="none"/>
      <w:effect w:val="blinkBackground"/>
    </w:rPr>
  </w:style>
  <w:style w:type="character" w:styleId="Applestylespan">
    <w:name w:val="apple-style-span"/>
    <w:basedOn w:val="DefaultParagraphFont"/>
    <w:qFormat/>
    <w:rPr/>
  </w:style>
  <w:style w:type="character" w:styleId="LinkdaInternet">
    <w:name w:val="Link da Internet"/>
    <w:rPr>
      <w:color w:val="000080"/>
      <w:u w:val="single"/>
      <w:lang w:val="zxx" w:eastAsia="zxx" w:bidi="zxx"/>
    </w:rPr>
  </w:style>
  <w:style w:type="character" w:styleId="CitaoChar">
    <w:name w:val="Citação Char"/>
    <w:qFormat/>
    <w:rPr>
      <w:rFonts w:ascii="Ecofont_Spranq_eco_Sans" w:hAnsi="Ecofont_Spranq_eco_Sans" w:eastAsia="Calibri" w:cs="Tahoma"/>
      <w:i/>
      <w:iCs/>
      <w:color w:val="000000"/>
      <w:szCs w:val="24"/>
      <w:shd w:fill="FFFF00" w:val="clear"/>
      <w:lang w:eastAsia="en-US"/>
    </w:rPr>
  </w:style>
  <w:style w:type="character" w:styleId="Citao2Char">
    <w:name w:val="citação 2 Char"/>
    <w:basedOn w:val="CitaoChar"/>
    <w:qFormat/>
    <w:rPr>
      <w:rFonts w:ascii="Ecofont_Spranq_eco_Sans" w:hAnsi="Ecofont_Spranq_eco_Sans" w:eastAsia="Calibri" w:cs="Tahoma"/>
      <w:i/>
      <w:iCs/>
      <w:color w:val="000000"/>
      <w:szCs w:val="24"/>
      <w:shd w:fill="FFFF00" w:val="clear"/>
      <w:lang w:eastAsia="en-US"/>
    </w:rPr>
  </w:style>
  <w:style w:type="character" w:styleId="GradeColoridanfase1Char">
    <w:name w:val="Grade Colorida - Ênfase 1 Char"/>
    <w:qFormat/>
    <w:rPr>
      <w:rFonts w:ascii="Ecofont_Spranq_eco_Sans" w:hAnsi="Ecofont_Spranq_eco_Sans" w:eastAsia="Calibri"/>
      <w:i/>
      <w:iCs/>
      <w:color w:val="000000"/>
      <w:szCs w:val="24"/>
      <w:shd w:fill="FFFF00" w:val="clear"/>
      <w:lang w:val="x-none" w:eastAsia="en-US"/>
    </w:rPr>
  </w:style>
  <w:style w:type="character" w:styleId="CabealhoChar">
    <w:name w:val="Cabeçalho Char"/>
    <w:basedOn w:val="DefaultParagraphFont"/>
    <w:qFormat/>
    <w:rPr>
      <w:rFonts w:ascii="Ecofont_Spranq_eco_Sans" w:hAnsi="Ecofont_Spranq_eco_Sans" w:cs="Tahoma"/>
      <w:sz w:val="24"/>
      <w:szCs w:val="24"/>
    </w:rPr>
  </w:style>
  <w:style w:type="character" w:styleId="RodapChar">
    <w:name w:val="Rodapé Char"/>
    <w:basedOn w:val="DefaultParagraphFont"/>
    <w:qFormat/>
    <w:rPr>
      <w:rFonts w:ascii="Ecofont_Spranq_eco_Sans" w:hAnsi="Ecofont_Spranq_eco_Sans" w:cs="Tahoma"/>
      <w:sz w:val="24"/>
      <w:szCs w:val="24"/>
    </w:rPr>
  </w:style>
  <w:style w:type="character" w:styleId="Ttulo1Char">
    <w:name w:val="Título 1 Char"/>
    <w:basedOn w:val="DefaultParagraphFont"/>
    <w:qFormat/>
    <w:rPr>
      <w:rFonts w:ascii="Cambria" w:hAnsi="Cambria" w:eastAsia="ＭＳ ゴシック" w:cs="Times New Roman"/>
      <w:color w:val="365F91"/>
      <w:sz w:val="32"/>
      <w:szCs w:val="32"/>
    </w:rPr>
  </w:style>
  <w:style w:type="character" w:styleId="Nivel1Char">
    <w:name w:val="Nivel1 Char"/>
    <w:basedOn w:val="Ttulo1Char"/>
    <w:qFormat/>
    <w:rPr>
      <w:rFonts w:ascii="Arial" w:hAnsi="Arial" w:eastAsia="ＭＳ ゴシック" w:cs="Arial"/>
      <w:b/>
      <w:color w:val="000000"/>
      <w:sz w:val="32"/>
      <w:szCs w:val="32"/>
    </w:rPr>
  </w:style>
  <w:style w:type="character" w:styleId="Annotationreference">
    <w:name w:val="annotation reference"/>
    <w:basedOn w:val="DefaultParagraphFont"/>
    <w:qFormat/>
    <w:rPr>
      <w:sz w:val="18"/>
      <w:szCs w:val="18"/>
    </w:rPr>
  </w:style>
  <w:style w:type="character" w:styleId="TextodecomentrioChar">
    <w:name w:val="Texto de comentário Char"/>
    <w:basedOn w:val="DefaultParagraphFont"/>
    <w:qFormat/>
    <w:rPr>
      <w:rFonts w:ascii="Arial" w:hAnsi="Arial" w:cs="Tahoma"/>
      <w:sz w:val="24"/>
      <w:szCs w:val="24"/>
    </w:rPr>
  </w:style>
  <w:style w:type="character" w:styleId="AssuntodocomentrioChar">
    <w:name w:val="Assunto do comentário Char"/>
    <w:basedOn w:val="TextodecomentrioChar"/>
    <w:qFormat/>
    <w:rPr>
      <w:rFonts w:ascii="Arial" w:hAnsi="Arial" w:cs="Tahoma"/>
      <w:b/>
      <w:bCs/>
      <w:sz w:val="24"/>
      <w:szCs w:val="24"/>
    </w:rPr>
  </w:style>
  <w:style w:type="character" w:styleId="Nivel01Char">
    <w:name w:val="Nivel 01 Char"/>
    <w:basedOn w:val="DefaultParagraphFont"/>
    <w:qFormat/>
    <w:rPr>
      <w:rFonts w:ascii="Ecofont_Spranq_eco_Sans" w:hAnsi="Ecofont_Spranq_eco_Sans" w:eastAsia="ＭＳ ゴシック"/>
      <w:b/>
      <w:bCs/>
      <w:color w:val="000000"/>
    </w:rPr>
  </w:style>
  <w:style w:type="character" w:styleId="Nivel01Char1">
    <w:name w:val="Nivel_01 Char"/>
    <w:basedOn w:val="Ttulo1Char"/>
    <w:qFormat/>
    <w:rPr>
      <w:rFonts w:ascii="Ecofont_Spranq_eco_Sans" w:hAnsi="Ecofont_Spranq_eco_Sans" w:eastAsia="ＭＳ ゴシック" w:cs="Times New Roman"/>
      <w:b/>
      <w:bCs/>
      <w:color w:val="365F91"/>
      <w:sz w:val="32"/>
      <w:szCs w:val="32"/>
    </w:rPr>
  </w:style>
  <w:style w:type="character" w:styleId="Strong">
    <w:name w:val="Strong"/>
    <w:basedOn w:val="DefaultParagraphFont"/>
    <w:qFormat/>
    <w:rPr>
      <w:b/>
      <w:bCs/>
    </w:rPr>
  </w:style>
  <w:style w:type="character" w:styleId="Nfase">
    <w:name w:val="Ênfase"/>
    <w:basedOn w:val="DefaultParagraphFont"/>
    <w:rPr>
      <w:i/>
      <w:iCs/>
    </w:rPr>
  </w:style>
  <w:style w:type="character" w:styleId="Nivel2Char">
    <w:name w:val="Nivel 2 Char"/>
    <w:basedOn w:val="DefaultParagraphFont"/>
    <w:qFormat/>
    <w:rPr>
      <w:rFonts w:ascii="Ecofont_Spranq_eco_Sans" w:hAnsi="Ecofont_Spranq_eco_Sans" w:eastAsia="Arial Unicode MS"/>
    </w:rPr>
  </w:style>
  <w:style w:type="character" w:styleId="QuoteChar">
    <w:name w:val="Quote Char"/>
    <w:qFormat/>
    <w:rPr>
      <w:rFonts w:ascii="Ecofont_Spranq_eco_Sans" w:hAnsi="Ecofont_Spranq_eco_Sans" w:cs="Ecofont_Spranq_eco_Sans"/>
      <w:i/>
      <w:iCs/>
      <w:color w:val="000000"/>
      <w:sz w:val="24"/>
      <w:szCs w:val="24"/>
      <w:shd w:fill="FFFF00" w:val="clear"/>
      <w:lang w:eastAsia="en-US"/>
    </w:rPr>
  </w:style>
  <w:style w:type="character" w:styleId="Appleconvertedspace">
    <w:name w:val="apple-converted-space"/>
    <w:basedOn w:val="DefaultParagraphFont"/>
    <w:qFormat/>
    <w:rPr/>
  </w:style>
  <w:style w:type="character" w:styleId="ListLabel1">
    <w:name w:val="ListLabel 1"/>
    <w:qFormat/>
    <w:rPr>
      <w:b/>
      <w:color w:val="00000A"/>
    </w:rPr>
  </w:style>
  <w:style w:type="character" w:styleId="ListLabel2">
    <w:name w:val="ListLabel 2"/>
    <w:qFormat/>
    <w:rPr>
      <w:b/>
      <w:i w:val="false"/>
      <w:strike w:val="false"/>
      <w:dstrike w:val="false"/>
      <w:color w:val="00000A"/>
    </w:rPr>
  </w:style>
  <w:style w:type="character" w:styleId="ListLabel3">
    <w:name w:val="ListLabel 3"/>
    <w:qFormat/>
    <w:rPr>
      <w:b/>
      <w:i w:val="false"/>
      <w:color w:val="00000A"/>
    </w:rPr>
  </w:style>
  <w:style w:type="character" w:styleId="ListLabel4">
    <w:name w:val="ListLabel 4"/>
    <w:qFormat/>
    <w:rPr>
      <w:b/>
      <w:i w:val="false"/>
      <w:strike w:val="false"/>
      <w:dstrike w:val="false"/>
    </w:rPr>
  </w:style>
  <w:style w:type="character" w:styleId="ListLabel5">
    <w:name w:val="ListLabel 5"/>
    <w:qFormat/>
    <w:rPr>
      <w:rFonts w:ascii="Arial" w:hAnsi="Arial"/>
      <w:b w:val="false"/>
      <w:strike w:val="false"/>
      <w:dstrike w:val="false"/>
    </w:rPr>
  </w:style>
  <w:style w:type="character" w:styleId="ListLabel6">
    <w:name w:val="ListLabel 6"/>
    <w:qFormat/>
    <w:rPr>
      <w:i w:val="false"/>
      <w:strike w:val="false"/>
      <w:dstrike w:val="false"/>
    </w:rPr>
  </w:style>
  <w:style w:type="character" w:styleId="ListLabel7">
    <w:name w:val="ListLabel 7"/>
    <w:qFormat/>
    <w:rPr>
      <w:b w:val="false"/>
      <w:i w:val="false"/>
      <w:sz w:val="18"/>
      <w:szCs w:val="18"/>
    </w:rPr>
  </w:style>
  <w:style w:type="character" w:styleId="ListLabel8">
    <w:name w:val="ListLabel 8"/>
    <w:qFormat/>
    <w:rPr>
      <w:b/>
      <w:color w:val="00000A"/>
    </w:rPr>
  </w:style>
  <w:style w:type="character" w:styleId="ListLabel9">
    <w:name w:val="ListLabel 9"/>
    <w:qFormat/>
    <w:rPr>
      <w:rFonts w:ascii="Arial" w:hAnsi="Arial"/>
      <w:b/>
      <w:i w:val="false"/>
      <w:strike w:val="false"/>
      <w:dstrike w:val="false"/>
      <w:color w:val="00000A"/>
    </w:rPr>
  </w:style>
  <w:style w:type="character" w:styleId="ListLabel10">
    <w:name w:val="ListLabel 10"/>
    <w:qFormat/>
    <w:rPr>
      <w:b/>
      <w:i w:val="false"/>
      <w:color w:val="00000A"/>
    </w:rPr>
  </w:style>
  <w:style w:type="character" w:styleId="ListLabel11">
    <w:name w:val="ListLabel 11"/>
    <w:qFormat/>
    <w:rPr>
      <w:b/>
      <w:color w:val="00000A"/>
    </w:rPr>
  </w:style>
  <w:style w:type="character" w:styleId="ListLabel12">
    <w:name w:val="ListLabel 12"/>
    <w:qFormat/>
    <w:rPr>
      <w:rFonts w:ascii="Arial" w:hAnsi="Arial"/>
      <w:b w:val="false"/>
      <w:i w:val="false"/>
      <w:strike w:val="false"/>
      <w:dstrike w:val="false"/>
      <w:color w:val="00000A"/>
    </w:rPr>
  </w:style>
  <w:style w:type="character" w:styleId="ListLabel13">
    <w:name w:val="ListLabel 13"/>
    <w:qFormat/>
    <w:rPr>
      <w:b/>
      <w:i w:val="false"/>
      <w:color w:val="00000A"/>
    </w:rPr>
  </w:style>
  <w:style w:type="character" w:styleId="ListLabel14">
    <w:name w:val="ListLabel 14"/>
    <w:qFormat/>
    <w:rPr>
      <w:b/>
      <w:color w:val="00000A"/>
    </w:rPr>
  </w:style>
  <w:style w:type="character" w:styleId="ListLabel15">
    <w:name w:val="ListLabel 15"/>
    <w:qFormat/>
    <w:rPr>
      <w:b/>
      <w:i w:val="false"/>
      <w:strike w:val="false"/>
      <w:dstrike w:val="false"/>
      <w:color w:val="00000A"/>
    </w:rPr>
  </w:style>
  <w:style w:type="character" w:styleId="ListLabel16">
    <w:name w:val="ListLabel 16"/>
    <w:qFormat/>
    <w:rPr>
      <w:b/>
      <w:i w:val="false"/>
      <w:color w:val="00000A"/>
    </w:rPr>
  </w:style>
  <w:style w:type="character" w:styleId="ListLabel17">
    <w:name w:val="ListLabel 17"/>
    <w:qFormat/>
    <w:rPr>
      <w:b/>
      <w:color w:val="00000A"/>
    </w:rPr>
  </w:style>
  <w:style w:type="character" w:styleId="ListLabel18">
    <w:name w:val="ListLabel 18"/>
    <w:qFormat/>
    <w:rPr>
      <w:b/>
      <w:i w:val="false"/>
      <w:strike w:val="false"/>
      <w:dstrike w:val="false"/>
      <w:color w:val="00000A"/>
    </w:rPr>
  </w:style>
  <w:style w:type="character" w:styleId="ListLabel19">
    <w:name w:val="ListLabel 19"/>
    <w:qFormat/>
    <w:rPr>
      <w:b/>
      <w:i w:val="false"/>
      <w:color w:val="00000A"/>
    </w:rPr>
  </w:style>
  <w:style w:type="character" w:styleId="ListLabel20">
    <w:name w:val="ListLabel 20"/>
    <w:qFormat/>
    <w:rPr>
      <w:b/>
      <w:color w:val="00000A"/>
    </w:rPr>
  </w:style>
  <w:style w:type="character" w:styleId="ListLabel21">
    <w:name w:val="ListLabel 21"/>
    <w:qFormat/>
    <w:rPr>
      <w:b/>
      <w:bCs/>
      <w:i w:val="false"/>
      <w:strike w:val="false"/>
      <w:dstrike w:val="false"/>
      <w:color w:val="00000A"/>
    </w:rPr>
  </w:style>
  <w:style w:type="character" w:styleId="ListLabel22">
    <w:name w:val="ListLabel 22"/>
    <w:qFormat/>
    <w:rPr>
      <w:b/>
      <w:i w:val="false"/>
      <w:color w:val="00000A"/>
    </w:rPr>
  </w:style>
  <w:style w:type="paragraph" w:styleId="Ttulo">
    <w:name w:val="Título"/>
    <w:basedOn w:val="Normal"/>
    <w:next w:val="Corpodotexto"/>
    <w:qFormat/>
    <w:pPr>
      <w:keepNext/>
      <w:spacing w:before="240" w:after="120"/>
    </w:pPr>
    <w:rPr>
      <w:rFonts w:ascii="Liberation Sans" w:hAnsi="Liberation Sans" w:eastAsia="Microsoft YaHei" w:cs="Mangal"/>
      <w:sz w:val="28"/>
      <w:szCs w:val="28"/>
    </w:rPr>
  </w:style>
  <w:style w:type="paragraph" w:styleId="Corpodotexto">
    <w:name w:val="Corpo do texto"/>
    <w:basedOn w:val="Normal"/>
    <w:pPr>
      <w:spacing w:lineRule="auto" w:line="288" w:before="0" w:after="140"/>
    </w:pPr>
    <w:rPr/>
  </w:style>
  <w:style w:type="paragraph" w:styleId="Lista">
    <w:name w:val="Lista"/>
    <w:pPr>
      <w:widowControl w:val="false"/>
      <w:suppressAutoHyphens w:val="true"/>
    </w:pPr>
    <w:rPr>
      <w:rFonts w:cs="Mangal" w:ascii="Times New Roman" w:hAnsi="Times New Roman" w:eastAsia="Times New Roman"/>
      <w:color w:val="auto"/>
      <w:sz w:val="20"/>
      <w:szCs w:val="20"/>
      <w:lang w:val="pt-BR" w:eastAsia="pt-BR" w:bidi="ar-SA"/>
    </w:rPr>
  </w:style>
  <w:style w:type="paragraph" w:styleId="Legenda">
    <w:name w:val="Leg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orpodetexto">
    <w:name w:val="Corpo de texto"/>
    <w:basedOn w:val="Normal"/>
    <w:qFormat/>
    <w:pPr>
      <w:spacing w:lineRule="auto" w:line="288" w:before="0" w:after="140"/>
    </w:pPr>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spacing w:before="280" w:after="280"/>
    </w:pPr>
    <w:rPr>
      <w:rFonts w:ascii="Times New Roman" w:hAnsi="Times New Roman" w:cs="Times New Roman"/>
    </w:rPr>
  </w:style>
  <w:style w:type="paragraph" w:styleId="BalloonText">
    <w:name w:val="Balloon Text"/>
    <w:basedOn w:val="Normal"/>
    <w:qFormat/>
    <w:pPr/>
    <w:rPr>
      <w:rFonts w:ascii="Tahoma" w:hAnsi="Tahoma"/>
      <w:sz w:val="16"/>
      <w:szCs w:val="16"/>
    </w:rPr>
  </w:style>
  <w:style w:type="paragraph" w:styleId="Nvel2">
    <w:name w:val="Nível 2"/>
    <w:basedOn w:val="Normal"/>
    <w:next w:val="Normal"/>
    <w:qFormat/>
    <w:pPr>
      <w:spacing w:before="0" w:after="120"/>
      <w:jc w:val="both"/>
    </w:pPr>
    <w:rPr>
      <w:rFonts w:cs="Times New Roman"/>
      <w:b/>
      <w:szCs w:val="20"/>
    </w:rPr>
  </w:style>
  <w:style w:type="paragraph" w:styleId="Quote">
    <w:name w:val="Quote"/>
    <w:basedOn w:val="Normal"/>
    <w:next w:val="Normal"/>
    <w:qFormat/>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i/>
      <w:iCs/>
      <w:color w:val="000000"/>
      <w:lang w:eastAsia="en-US"/>
    </w:rPr>
  </w:style>
  <w:style w:type="paragraph" w:styleId="ListBullet5">
    <w:name w:val="List Bullet 5"/>
    <w:basedOn w:val="Normal"/>
    <w:qFormat/>
    <w:pPr>
      <w:spacing w:before="0" w:after="0"/>
      <w:contextualSpacing/>
    </w:pPr>
    <w:rPr/>
  </w:style>
  <w:style w:type="paragraph" w:styleId="Citao2">
    <w:name w:val="citação 2"/>
    <w:basedOn w:val="Quote"/>
    <w:qFormat/>
    <w:pPr>
      <w:shd w:val="clear" w:fill="FFFFCC"/>
    </w:pPr>
    <w:rPr>
      <w:szCs w:val="20"/>
    </w:rPr>
  </w:style>
  <w:style w:type="paragraph" w:styleId="GradeColoridanfase11">
    <w:name w:val="Grade Colorida - Ênfase 11"/>
    <w:basedOn w:val="Normal"/>
    <w:next w:val="Normal"/>
    <w:qFormat/>
    <w:pPr>
      <w:pBdr>
        <w:top w:val="single" w:sz="4" w:space="1" w:color="1F497D"/>
        <w:left w:val="single" w:sz="4" w:space="4" w:color="1F497D"/>
        <w:bottom w:val="single" w:sz="4" w:space="1" w:color="1F497D"/>
        <w:right w:val="single" w:sz="4" w:space="4" w:color="1F497D"/>
      </w:pBdr>
      <w:shd w:val="clear" w:fill="FFFFCC"/>
      <w:spacing w:before="120" w:after="0"/>
      <w:jc w:val="both"/>
    </w:pPr>
    <w:rPr>
      <w:rFonts w:eastAsia="Calibri" w:cs="Times New Roman"/>
      <w:i/>
      <w:iCs/>
      <w:color w:val="000000"/>
      <w:lang w:val="x-none" w:eastAsia="en-US"/>
    </w:rPr>
  </w:style>
  <w:style w:type="paragraph" w:styleId="Cabealho">
    <w:name w:val="Cabeçalho"/>
    <w:basedOn w:val="Normal"/>
    <w:pPr>
      <w:tabs>
        <w:tab w:val="center" w:pos="4252" w:leader="none"/>
        <w:tab w:val="right" w:pos="8504" w:leader="none"/>
      </w:tabs>
    </w:pPr>
    <w:rPr/>
  </w:style>
  <w:style w:type="paragraph" w:styleId="Rodap">
    <w:name w:val="Rodapé"/>
    <w:basedOn w:val="Normal"/>
    <w:pPr>
      <w:tabs>
        <w:tab w:val="center" w:pos="4252" w:leader="none"/>
        <w:tab w:val="right" w:pos="8504" w:leader="none"/>
      </w:tabs>
    </w:pPr>
    <w:rPr/>
  </w:style>
  <w:style w:type="paragraph" w:styleId="Nivel1">
    <w:name w:val="Nivel1"/>
    <w:basedOn w:val="Ttulo1"/>
    <w:next w:val="Normal"/>
    <w:qFormat/>
    <w:pPr>
      <w:spacing w:lineRule="auto" w:line="276" w:before="480" w:after="120"/>
      <w:jc w:val="both"/>
    </w:pPr>
    <w:rPr>
      <w:rFonts w:ascii="Arial" w:hAnsi="Arial" w:cs="Arial"/>
      <w:b/>
      <w:color w:val="000000"/>
      <w:sz w:val="20"/>
      <w:szCs w:val="20"/>
    </w:rPr>
  </w:style>
  <w:style w:type="paragraph" w:styleId="Annotationtext">
    <w:name w:val="annotation text"/>
    <w:basedOn w:val="Normal"/>
    <w:qFormat/>
    <w:pPr/>
    <w:rPr>
      <w:sz w:val="24"/>
    </w:rPr>
  </w:style>
  <w:style w:type="paragraph" w:styleId="Annotationsubject">
    <w:name w:val="annotation subject"/>
    <w:basedOn w:val="Annotationtext"/>
    <w:qFormat/>
    <w:pPr/>
    <w:rPr>
      <w:b/>
      <w:bCs/>
      <w:sz w:val="20"/>
      <w:szCs w:val="20"/>
    </w:rPr>
  </w:style>
  <w:style w:type="paragraph" w:styleId="Nivel01">
    <w:name w:val="Nivel 01"/>
    <w:basedOn w:val="Ttulo1"/>
    <w:next w:val="Normal"/>
    <w:qFormat/>
    <w:pPr>
      <w:tabs>
        <w:tab w:val="left" w:pos="567" w:leader="none"/>
      </w:tabs>
      <w:jc w:val="both"/>
    </w:pPr>
    <w:rPr>
      <w:rFonts w:ascii="Ecofont_Spranq_eco_Sans" w:hAnsi="Ecofont_Spranq_eco_Sans" w:cs="Times New Roman"/>
      <w:b/>
      <w:bCs/>
      <w:color w:val="000000"/>
      <w:sz w:val="20"/>
      <w:szCs w:val="20"/>
    </w:rPr>
  </w:style>
  <w:style w:type="paragraph" w:styleId="Nivel011">
    <w:name w:val="Nivel_01"/>
    <w:basedOn w:val="Ttulo1"/>
    <w:qFormat/>
    <w:pPr>
      <w:tabs>
        <w:tab w:val="left" w:pos="567" w:leader="none"/>
      </w:tabs>
      <w:jc w:val="both"/>
    </w:pPr>
    <w:rPr>
      <w:rFonts w:ascii="Ecofont_Spranq_eco_Sans" w:hAnsi="Ecofont_Spranq_eco_Sans" w:cs="Times New Roman"/>
      <w:b/>
      <w:bCs/>
      <w:color w:val="00000A"/>
      <w:sz w:val="20"/>
      <w:szCs w:val="20"/>
    </w:rPr>
  </w:style>
  <w:style w:type="paragraph"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fill="FFFFCC"/>
      <w:suppressAutoHyphens w:val="true"/>
      <w:spacing w:before="120" w:after="0"/>
      <w:jc w:val="both"/>
    </w:pPr>
    <w:rPr>
      <w:rFonts w:ascii="Ecofont_Spranq_eco_Sans" w:hAnsi="Ecofont_Spranq_eco_Sans" w:eastAsia="Calibri"/>
      <w:i/>
      <w:iCs/>
      <w:color w:val="000000"/>
      <w:lang w:eastAsia="zh-CN"/>
    </w:rPr>
  </w:style>
  <w:style w:type="paragraph" w:styleId="PargrafodaLista1">
    <w:name w:val="Parágrafo da Lista1"/>
    <w:basedOn w:val="Normal"/>
    <w:qFormat/>
    <w:pPr>
      <w:ind w:left="720" w:right="0" w:hanging="0"/>
    </w:pPr>
    <w:rPr>
      <w:rFonts w:ascii="Ecofont_Spranq_eco_Sans" w:hAnsi="Ecofont_Spranq_eco_Sans" w:cs="Ecofont_Spranq_eco_Sans"/>
      <w:sz w:val="24"/>
    </w:rPr>
  </w:style>
  <w:style w:type="paragraph" w:styleId="Nivel2">
    <w:name w:val="Nivel 2"/>
    <w:qFormat/>
    <w:pPr>
      <w:widowControl/>
      <w:suppressAutoHyphens w:val="true"/>
      <w:overflowPunct w:val="true"/>
      <w:bidi w:val="0"/>
      <w:spacing w:lineRule="auto" w:line="276" w:before="120" w:after="120"/>
      <w:jc w:val="both"/>
    </w:pPr>
    <w:rPr>
      <w:rFonts w:ascii="Ecofont_Spranq_eco_Sans" w:hAnsi="Ecofont_Spranq_eco_Sans" w:eastAsia="Arial Unicode MS" w:cs="Times New Roman"/>
      <w:color w:val="00000A"/>
      <w:sz w:val="20"/>
      <w:szCs w:val="20"/>
      <w:lang w:val="pt-BR" w:eastAsia="pt-BR" w:bidi="ar-SA"/>
    </w:rPr>
  </w:style>
  <w:style w:type="paragraph" w:styleId="Nivel11">
    <w:name w:val="Nivel 1"/>
    <w:basedOn w:val="Nivel2"/>
    <w:qFormat/>
    <w:pPr>
      <w:tabs>
        <w:tab w:val="left" w:pos="360" w:leader="none"/>
      </w:tabs>
      <w:ind w:left="644" w:right="0" w:hanging="432"/>
    </w:pPr>
    <w:rPr>
      <w:rFonts w:cs="Arial"/>
      <w:b/>
    </w:rPr>
  </w:style>
  <w:style w:type="paragraph" w:styleId="Nivel3">
    <w:name w:val="Nivel 3"/>
    <w:basedOn w:val="Nivel2"/>
    <w:qFormat/>
    <w:pPr>
      <w:tabs>
        <w:tab w:val="left" w:pos="360" w:leader="none"/>
      </w:tabs>
      <w:ind w:left="1922" w:right="0" w:hanging="0"/>
    </w:pPr>
    <w:rPr>
      <w:rFonts w:cs="Arial"/>
      <w:color w:val="000000"/>
    </w:rPr>
  </w:style>
  <w:style w:type="paragraph" w:styleId="Nivel4">
    <w:name w:val="Nivel 4"/>
    <w:basedOn w:val="Nivel3"/>
    <w:qFormat/>
    <w:pPr>
      <w:tabs>
        <w:tab w:val="left" w:pos="360" w:leader="none"/>
      </w:tabs>
      <w:ind w:left="2491" w:right="0" w:hanging="0"/>
    </w:pPr>
    <w:rPr>
      <w:color w:val="00000A"/>
    </w:rPr>
  </w:style>
  <w:style w:type="paragraph" w:styleId="Nivel5">
    <w:name w:val="Nivel 5"/>
    <w:basedOn w:val="Nivel4"/>
    <w:qFormat/>
    <w:pPr>
      <w:tabs>
        <w:tab w:val="left" w:pos="360" w:leader="none"/>
      </w:tabs>
      <w:ind w:left="3485" w:right="0" w:hanging="0"/>
    </w:pPr>
    <w:rPr/>
  </w:style>
  <w:style w:type="paragraph" w:styleId="Citao1">
    <w:name w:val="Citação1"/>
    <w:basedOn w:val="Normal"/>
    <w:qFormat/>
    <w:pPr>
      <w:pBdr>
        <w:bottom w:val="single" w:sz="4" w:space="1" w:color="1F497D"/>
      </w:pBdr>
    </w:pPr>
    <w:rPr>
      <w:rFonts w:ascii="Ecofont_Spranq_eco_Sans" w:hAnsi="Ecofont_Spranq_eco_Sans" w:cs="Ecofont_Spranq_eco_Sans"/>
      <w:i/>
      <w:iCs/>
      <w:color w:val="000000"/>
      <w:sz w:val="24"/>
      <w:shd w:fill="FFFF00" w:val="clear"/>
      <w:lang w:eastAsia="en-US"/>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paragraph" w:styleId="Contedodatabela">
    <w:name w:val="Conteúdo da tabela"/>
    <w:basedOn w:val="Normal"/>
    <w:qFormat/>
    <w:pPr/>
    <w:rPr/>
  </w:style>
  <w:style w:type="paragraph" w:styleId="Ttulodetabela">
    <w:name w:val="Título de tabela"/>
    <w:basedOn w:val="Contedodatabela"/>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TR compras</Template>
  <TotalTime>1680</TotalTime>
  <Application>LibreOffice/4.4.1.2$Windows_x86 LibreOffice_project/45e2de17089c24a1fa810c8f975a7171ba4cd432</Application>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2020-01-14T19:34:00Z</dcterms:created>
  <dc:creator>Adriano</dc:creator>
  <dc:language>pt-BR</dc:language>
  <cp:lastPrinted>2020-03-13T12:00:28Z</cp:lastPrinted>
  <dcterms:modified xsi:type="dcterms:W3CDTF">2020-03-31T17:36:10Z</dcterms:modified>
  <cp:revision>9</cp:revision>
  <dc:title>NOTAS EXPLICATIVAS</dc:title>
</cp:coreProperties>
</file>

<file path=docProps/custom.xml><?xml version="1.0" encoding="utf-8"?>
<Properties xmlns="http://schemas.openxmlformats.org/officeDocument/2006/custom-properties" xmlns:vt="http://schemas.openxmlformats.org/officeDocument/2006/docPropsVTypes"/>
</file>